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9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10"/>
              <w:tblW w:w="924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08"/>
              <w:gridCol w:w="1850"/>
              <w:gridCol w:w="1625"/>
              <w:gridCol w:w="1862"/>
              <w:gridCol w:w="455"/>
              <w:gridCol w:w="184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5" w:hRule="atLeast"/>
              </w:trPr>
              <w:tc>
                <w:tcPr>
                  <w:tcW w:w="924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</w:rPr>
                    <w:t>附件1</w:t>
                  </w:r>
                  <w:r>
                    <w:rPr>
                      <w:rFonts w:hint="eastAsia" w:ascii="仿宋" w:hAnsi="仿宋" w:eastAsia="仿宋" w:cs="仿宋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仿宋" w:hAnsi="仿宋" w:eastAsia="仿宋"/>
                      <w:sz w:val="32"/>
                      <w:szCs w:val="32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8" w:hRule="atLeast"/>
              </w:trPr>
              <w:tc>
                <w:tcPr>
                  <w:tcW w:w="924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方正小标宋简体" w:cs="宋体"/>
                      <w:kern w:val="0"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 w:val="0"/>
                      <w:kern w:val="0"/>
                      <w:sz w:val="36"/>
                      <w:szCs w:val="36"/>
                    </w:rPr>
                    <w:t>温州市放心粮油企业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 w:val="0"/>
                      <w:kern w:val="0"/>
                      <w:sz w:val="36"/>
                      <w:szCs w:val="36"/>
                      <w:lang w:eastAsia="zh-CN"/>
                    </w:rPr>
                    <w:t>年审（申报）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 w:val="0"/>
                      <w:kern w:val="0"/>
                      <w:sz w:val="36"/>
                      <w:szCs w:val="36"/>
                    </w:rPr>
                    <w:t>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单位（盖章）：</w:t>
                  </w:r>
                </w:p>
              </w:tc>
              <w:tc>
                <w:tcPr>
                  <w:tcW w:w="3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2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Times New Roman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6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地　址</w:t>
                  </w:r>
                </w:p>
              </w:tc>
              <w:tc>
                <w:tcPr>
                  <w:tcW w:w="7638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60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法定代表人</w:t>
                  </w:r>
                </w:p>
              </w:tc>
              <w:tc>
                <w:tcPr>
                  <w:tcW w:w="347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手  机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60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联系人</w:t>
                  </w:r>
                </w:p>
              </w:tc>
              <w:tc>
                <w:tcPr>
                  <w:tcW w:w="347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手  机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60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经营台账和报表建立情况</w:t>
                  </w:r>
                </w:p>
              </w:tc>
              <w:tc>
                <w:tcPr>
                  <w:tcW w:w="347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righ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有否被相关部门处罚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608" w:type="dxa"/>
                  <w:tcBorders>
                    <w:top w:val="single" w:color="auto" w:sz="4" w:space="0"/>
                    <w:left w:val="single" w:color="auto" w:sz="4" w:space="0"/>
                    <w:bottom w:val="doub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  <w:lang w:val="en-US" w:eastAsia="zh-CN"/>
                    </w:rPr>
                    <w:t>上年度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销售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总额</w:t>
                  </w:r>
                </w:p>
              </w:tc>
              <w:tc>
                <w:tcPr>
                  <w:tcW w:w="34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doub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righ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万元</w:t>
                  </w:r>
                </w:p>
              </w:tc>
              <w:tc>
                <w:tcPr>
                  <w:tcW w:w="1862" w:type="dxa"/>
                  <w:tcBorders>
                    <w:top w:val="single" w:color="auto" w:sz="4" w:space="0"/>
                    <w:left w:val="single" w:color="auto" w:sz="4" w:space="0"/>
                    <w:bottom w:val="doub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  <w:lang w:val="en-US" w:eastAsia="zh-CN"/>
                    </w:rPr>
                    <w:t>上年度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利税总额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doub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righ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万元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608" w:type="dxa"/>
                  <w:tcBorders>
                    <w:top w:val="doub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其中：粮油类销售情况</w:t>
                  </w:r>
                </w:p>
              </w:tc>
              <w:tc>
                <w:tcPr>
                  <w:tcW w:w="1850" w:type="dxa"/>
                  <w:tcBorders>
                    <w:top w:val="doub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  <w:lang w:eastAsia="zh-CN"/>
                    </w:rPr>
                    <w:t>配送品种及规格</w:t>
                  </w:r>
                </w:p>
              </w:tc>
              <w:tc>
                <w:tcPr>
                  <w:tcW w:w="1625" w:type="dxa"/>
                  <w:tcBorders>
                    <w:top w:val="doub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仿宋" w:hAnsi="仿宋" w:eastAsia="仿宋" w:cs="宋体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  <w:lang w:val="en-US" w:eastAsia="zh-CN"/>
                    </w:rPr>
                    <w:t>截止申报月份前12个月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销售量（公斤）</w:t>
                  </w:r>
                </w:p>
              </w:tc>
              <w:tc>
                <w:tcPr>
                  <w:tcW w:w="1862" w:type="dxa"/>
                  <w:tcBorders>
                    <w:top w:val="doub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  <w:lang w:val="en-US" w:eastAsia="zh-CN"/>
                    </w:rPr>
                    <w:t>截止申报月份前12个月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销售收入（万元）</w:t>
                  </w:r>
                </w:p>
              </w:tc>
              <w:tc>
                <w:tcPr>
                  <w:tcW w:w="2301" w:type="dxa"/>
                  <w:gridSpan w:val="2"/>
                  <w:vMerge w:val="restart"/>
                  <w:tcBorders>
                    <w:top w:val="double" w:color="auto" w:sz="4" w:space="0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hint="eastAsia" w:ascii="仿宋" w:hAnsi="仿宋" w:eastAsia="仿宋" w:cs="宋体"/>
                      <w:kern w:val="0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说明：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  <w:lang w:eastAsia="zh-CN"/>
                    </w:rPr>
                    <w:t>插入经营场所外观照片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60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合    计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仿宋" w:hAnsi="仿宋" w:eastAsia="仿宋" w:cs="宋体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301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60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稻谷（大米）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仿宋" w:hAnsi="仿宋" w:eastAsia="仿宋" w:cs="宋体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301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60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小麦（面粉）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仿宋" w:hAnsi="仿宋" w:eastAsia="仿宋" w:cs="宋体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301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60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食用植物油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仿宋" w:hAnsi="仿宋" w:eastAsia="仿宋" w:cs="宋体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301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60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301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608" w:type="dxa"/>
                  <w:tcBorders>
                    <w:top w:val="single" w:color="auto" w:sz="4" w:space="0"/>
                    <w:left w:val="single" w:color="auto" w:sz="4" w:space="0"/>
                    <w:bottom w:val="double" w:color="auto" w:sz="6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其他粮油制品</w:t>
                  </w:r>
                </w:p>
              </w:tc>
              <w:tc>
                <w:tcPr>
                  <w:tcW w:w="1850" w:type="dxa"/>
                  <w:tcBorders>
                    <w:top w:val="single" w:color="auto" w:sz="4" w:space="0"/>
                    <w:left w:val="nil"/>
                    <w:bottom w:val="double" w:color="auto" w:sz="6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auto" w:sz="4" w:space="0"/>
                    <w:left w:val="single" w:color="auto" w:sz="4" w:space="0"/>
                    <w:bottom w:val="double" w:color="auto" w:sz="6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862" w:type="dxa"/>
                  <w:tcBorders>
                    <w:top w:val="single" w:color="auto" w:sz="4" w:space="0"/>
                    <w:left w:val="nil"/>
                    <w:bottom w:val="double" w:color="auto" w:sz="6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301" w:type="dxa"/>
                  <w:gridSpan w:val="2"/>
                  <w:vMerge w:val="continue"/>
                  <w:tcBorders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37" w:hRule="atLeast"/>
              </w:trPr>
              <w:tc>
                <w:tcPr>
                  <w:tcW w:w="9246" w:type="dxa"/>
                  <w:gridSpan w:val="6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auto"/>
                    <w:rPr>
                      <w:rFonts w:hint="eastAsia" w:ascii="仿宋" w:hAnsi="仿宋" w:eastAsia="仿宋" w:cs="宋体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  <w:lang w:val="en-US" w:eastAsia="zh-CN"/>
                    </w:rPr>
                    <w:t>配送中心粮食库房仓容：                     吨（附相关证明材料）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auto"/>
                    <w:rPr>
                      <w:rFonts w:hint="eastAsia" w:ascii="仿宋" w:hAnsi="仿宋" w:eastAsia="仿宋" w:cs="宋体"/>
                      <w:kern w:val="0"/>
                      <w:szCs w:val="21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auto"/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  <w:lang w:val="en-US" w:eastAsia="zh-CN"/>
                    </w:rPr>
                    <w:t>自有配送车辆日运输能力：                   吨（附相关证明材料）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924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粮食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  <w:lang w:val="en-US" w:eastAsia="zh-CN"/>
                    </w:rPr>
                    <w:t>和物资储备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局审核意见：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1608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3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160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347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年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月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日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放心粮油配送中心配送服务点清单</w:t>
      </w:r>
    </w:p>
    <w:tbl>
      <w:tblPr>
        <w:tblStyle w:val="10"/>
        <w:tblW w:w="92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2"/>
        <w:gridCol w:w="1126"/>
        <w:gridCol w:w="251"/>
        <w:gridCol w:w="236"/>
        <w:gridCol w:w="1222"/>
        <w:gridCol w:w="356"/>
        <w:gridCol w:w="1345"/>
        <w:gridCol w:w="1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配送中心名称：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  址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  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配送品种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（个）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配送数量（吨）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tbl>
      <w:tblPr>
        <w:tblStyle w:val="10"/>
        <w:tblW w:w="92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88"/>
        <w:gridCol w:w="1938"/>
        <w:gridCol w:w="2268"/>
        <w:gridCol w:w="2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3</w:t>
            </w:r>
          </w:p>
          <w:p>
            <w:pPr>
              <w:widowControl/>
              <w:spacing w:line="660" w:lineRule="atLeast"/>
              <w:jc w:val="center"/>
              <w:outlineLvl w:val="4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  <w:t>放心粮油配送及管理协议书（参考样式）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2" w:afterLines="100" w:line="360" w:lineRule="exact"/>
              <w:ind w:firstLine="64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甲方：                      地址：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联系人：   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  联系电话：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乙方：               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地址：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联系人：       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联系电话：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根据温州市粮食和物资储备局放心粮油创建有关规定，依照商务信用原则，经甲乙双方同意，自愿签订本协议。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协议期限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暂定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一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年，自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日起至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日止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，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协议期满后根据甲乙双方协商可续签。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一、甲方负责乙方达到申报放心粮油店条件，整理乙方资料统一进行申报，所需费用由甲方承担。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二、甲方定期对乙方跟踪服务，指导店容店貌管理。乙方自愿接受甲方经营粮油品种质量监管，认真处理甲方提出的意见和建议。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三、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甲方必须严格执行国家粮食质量标准，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配送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的粮油产品必须保质保量，保证食品安全。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甲方提供产品出现质量问题，乙方须马上通知甲方，在双方责任认定后，可以协商退货。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若乙方在经营过程中出现操作不当（保管等原因），导致产品出现质量问题，甲方不接受乙方对该类产品的退货及换货要求。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u w:val="single"/>
              </w:rPr>
              <w:t>（根据日常操作补充供货、结算相关内容）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四、甲方配送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的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粮油商品价格不高于市场同期同类价格，乙方应优先进货、销售。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五、双方建立粮油供货、销售统计台帐，便于进、供货核对和货款结算。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 六、双方服从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当地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粮食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和物资储备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局管理，自愿接受监督检查和质量抽查，按要求报送相关报表。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七、本协议未尽事宜，由甲乙双方协商解决。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八、本协议一式两份，甲乙双方各持一份。自双方签字盖章后生效。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甲方（盖章）  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负责人签字：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乙方（盖章）   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负责人签字：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32"/>
                <w:szCs w:val="32"/>
              </w:rPr>
              <w:t xml:space="preserve">      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</w:rPr>
              <w:t>“放心消费单位”公开承诺式样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drawing>
                <wp:inline distT="0" distB="0" distL="0" distR="0">
                  <wp:extent cx="5012690" cy="7091045"/>
                  <wp:effectExtent l="0" t="0" r="16510" b="1460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2690" cy="709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备注</w:t>
            </w:r>
            <w:r>
              <w:rPr>
                <w:rFonts w:ascii="仿宋_GB2312" w:hAnsi="黑体" w:eastAsia="仿宋_GB2312"/>
                <w:sz w:val="24"/>
                <w:szCs w:val="24"/>
              </w:rPr>
              <w:t>：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《放心</w:t>
            </w:r>
            <w:r>
              <w:rPr>
                <w:rFonts w:ascii="仿宋_GB2312" w:hAnsi="黑体" w:eastAsia="仿宋_GB2312"/>
                <w:sz w:val="24"/>
                <w:szCs w:val="24"/>
              </w:rPr>
              <w:t>消费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公开承诺》中“</w:t>
            </w:r>
            <w:r>
              <w:rPr>
                <w:rFonts w:ascii="仿宋_GB2312" w:hAnsi="黑体" w:eastAsia="仿宋_GB2312"/>
                <w:sz w:val="24"/>
                <w:szCs w:val="24"/>
              </w:rPr>
              <w:t>7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hAnsi="黑体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”项承诺为</w:t>
            </w:r>
            <w:r>
              <w:rPr>
                <w:rFonts w:ascii="仿宋_GB2312" w:hAnsi="黑体" w:eastAsia="仿宋_GB2312"/>
                <w:sz w:val="24"/>
                <w:szCs w:val="24"/>
              </w:rPr>
              <w:t>选择项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，</w:t>
            </w:r>
            <w:r>
              <w:rPr>
                <w:rFonts w:ascii="仿宋_GB2312" w:hAnsi="黑体" w:eastAsia="仿宋_GB2312"/>
                <w:sz w:val="24"/>
                <w:szCs w:val="24"/>
              </w:rPr>
              <w:t>符合条件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的生产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0" w:firstLineChars="500"/>
              <w:jc w:val="left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经营单位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必选，不符合</w:t>
            </w:r>
            <w:r>
              <w:rPr>
                <w:rFonts w:ascii="仿宋_GB2312" w:hAnsi="黑体" w:eastAsia="仿宋_GB2312"/>
                <w:sz w:val="24"/>
                <w:szCs w:val="24"/>
              </w:rPr>
              <w:t>的为合理缺项，具体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由</w:t>
            </w:r>
            <w:r>
              <w:rPr>
                <w:rFonts w:ascii="仿宋_GB2312" w:hAnsi="黑体" w:eastAsia="仿宋_GB2312"/>
                <w:sz w:val="24"/>
                <w:szCs w:val="24"/>
              </w:rPr>
              <w:t>各地结合实际情况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作</w:t>
            </w:r>
            <w:r>
              <w:rPr>
                <w:rFonts w:ascii="仿宋_GB2312" w:hAnsi="黑体" w:eastAsia="仿宋_GB2312"/>
                <w:sz w:val="24"/>
                <w:szCs w:val="24"/>
              </w:rPr>
              <w:t>出规定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hint="eastAsia" w:ascii="宋体" w:hAnsi="宋体" w:eastAsia="方正小标宋简体" w:cs="宋体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温州市放心粮油店年审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（申报）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单位（盖章）:</w:t>
            </w:r>
          </w:p>
        </w:tc>
        <w:tc>
          <w:tcPr>
            <w:tcW w:w="648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所属配送中心全称</w:t>
            </w:r>
          </w:p>
        </w:tc>
        <w:tc>
          <w:tcPr>
            <w:tcW w:w="6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82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店名全称</w:t>
            </w:r>
          </w:p>
        </w:tc>
        <w:tc>
          <w:tcPr>
            <w:tcW w:w="66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  称</w:t>
            </w:r>
          </w:p>
        </w:tc>
        <w:tc>
          <w:tcPr>
            <w:tcW w:w="6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　址</w:t>
            </w:r>
          </w:p>
        </w:tc>
        <w:tc>
          <w:tcPr>
            <w:tcW w:w="6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是否建立经营台账和报表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投诉件数及处理情况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截止申报月份，前12个月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销售总额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截止申报月份，前12个月利税总额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主要经营品种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截止申报月份前12个月平均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销售量（公斤）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截止申报月份前12个月平均销售收入（万元）</w:t>
            </w:r>
          </w:p>
        </w:tc>
        <w:tc>
          <w:tcPr>
            <w:tcW w:w="2282" w:type="dxa"/>
            <w:vMerge w:val="restart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是否申报粮食应急供应点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　　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　　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食用植物油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其他粮油及制品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228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粮食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和物资储备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局审核意见：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（公　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　月　日</w:t>
            </w:r>
          </w:p>
        </w:tc>
      </w:tr>
    </w:tbl>
    <w:p>
      <w:pPr>
        <w:widowControl/>
        <w:jc w:val="left"/>
        <w:rPr>
          <w:rFonts w:hint="eastAsia" w:ascii="Calibri" w:hAnsi="Calibri" w:eastAsia="宋体" w:cs="Times New Roman"/>
          <w:b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43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温州市粮食应急供应点协议书</w:t>
      </w:r>
    </w:p>
    <w:p>
      <w:pPr>
        <w:spacing w:line="430" w:lineRule="exact"/>
        <w:jc w:val="left"/>
        <w:rPr>
          <w:rFonts w:hint="eastAsia" w:ascii="Calibri" w:hAnsi="Calibri" w:eastAsia="宋体" w:cs="Times New Roman"/>
          <w:szCs w:val="24"/>
        </w:rPr>
      </w:pPr>
    </w:p>
    <w:p>
      <w:pPr>
        <w:spacing w:line="430" w:lineRule="exact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甲方：温州市粮食和物资储备局</w:t>
      </w:r>
    </w:p>
    <w:p>
      <w:pPr>
        <w:spacing w:line="430" w:lineRule="exact"/>
        <w:jc w:val="left"/>
        <w:rPr>
          <w:rFonts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 xml:space="preserve">乙方： </w:t>
      </w:r>
    </w:p>
    <w:p>
      <w:pPr>
        <w:spacing w:line="430" w:lineRule="exact"/>
        <w:ind w:firstLine="500" w:firstLineChars="200"/>
        <w:jc w:val="left"/>
        <w:rPr>
          <w:rFonts w:hint="eastAsia" w:ascii="宋体" w:hAnsi="宋体" w:eastAsia="宋体" w:cs="Times New Roman"/>
          <w:color w:val="auto"/>
          <w:sz w:val="25"/>
          <w:szCs w:val="25"/>
        </w:rPr>
      </w:pPr>
      <w:r>
        <w:rPr>
          <w:rFonts w:hint="eastAsia" w:ascii="宋体" w:hAnsi="宋体" w:eastAsia="宋体" w:cs="Times New Roman"/>
          <w:color w:val="auto"/>
          <w:sz w:val="25"/>
          <w:szCs w:val="25"/>
        </w:rPr>
        <w:t>根据《温州市粮食应急预案》和《温州市本级粮食应急网络体系管理暂行办法》的要求，建立粮食应急供应网络。现确定你单位为温州市粮食应急供应点，为明确双方职责，特签订协议如下：</w:t>
      </w:r>
    </w:p>
    <w:p>
      <w:pPr>
        <w:spacing w:line="430" w:lineRule="exact"/>
        <w:ind w:firstLine="482" w:firstLineChars="192"/>
        <w:jc w:val="left"/>
        <w:rPr>
          <w:rFonts w:hint="eastAsia" w:ascii="宋体" w:hAnsi="宋体" w:eastAsia="宋体" w:cs="Times New Roman"/>
          <w:b/>
          <w:sz w:val="25"/>
          <w:szCs w:val="25"/>
        </w:rPr>
      </w:pPr>
      <w:r>
        <w:rPr>
          <w:rFonts w:hint="eastAsia" w:ascii="宋体" w:hAnsi="宋体" w:eastAsia="宋体" w:cs="Times New Roman"/>
          <w:b/>
          <w:sz w:val="25"/>
          <w:szCs w:val="25"/>
        </w:rPr>
        <w:t>一、粮食应急供应点确定时间</w:t>
      </w:r>
    </w:p>
    <w:p>
      <w:pPr>
        <w:spacing w:line="500" w:lineRule="exact"/>
        <w:ind w:firstLine="540" w:firstLineChars="216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Calibri" w:hAnsi="Calibri" w:eastAsia="宋体" w:cs="Times New Roman"/>
          <w:sz w:val="25"/>
          <w:szCs w:val="25"/>
        </w:rPr>
        <w:t>乙方被列为</w:t>
      </w:r>
      <w:r>
        <w:rPr>
          <w:rFonts w:hint="eastAsia" w:ascii="宋体" w:hAnsi="宋体" w:eastAsia="宋体" w:cs="Times New Roman"/>
          <w:sz w:val="25"/>
          <w:szCs w:val="25"/>
        </w:rPr>
        <w:t>温州市粮食应急供应点，有效期二年，从</w:t>
      </w:r>
      <w:r>
        <w:rPr>
          <w:rFonts w:hint="eastAsia" w:ascii="宋体" w:hAnsi="宋体" w:eastAsia="宋体" w:cs="Times New Roman"/>
          <w:sz w:val="25"/>
          <w:szCs w:val="25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5"/>
          <w:szCs w:val="25"/>
        </w:rPr>
        <w:t>年</w:t>
      </w:r>
      <w:r>
        <w:rPr>
          <w:rFonts w:hint="eastAsia" w:ascii="宋体" w:hAnsi="宋体" w:eastAsia="宋体" w:cs="Times New Roman"/>
          <w:sz w:val="25"/>
          <w:szCs w:val="25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5"/>
          <w:szCs w:val="25"/>
        </w:rPr>
        <w:t>月</w:t>
      </w:r>
      <w:r>
        <w:rPr>
          <w:rFonts w:hint="eastAsia" w:ascii="宋体" w:hAnsi="宋体" w:eastAsia="宋体" w:cs="Times New Roman"/>
          <w:sz w:val="25"/>
          <w:szCs w:val="25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5"/>
          <w:szCs w:val="25"/>
        </w:rPr>
        <w:t>日到</w:t>
      </w:r>
      <w:r>
        <w:rPr>
          <w:rFonts w:hint="eastAsia" w:ascii="宋体" w:hAnsi="宋体" w:eastAsia="宋体" w:cs="Times New Roman"/>
          <w:sz w:val="25"/>
          <w:szCs w:val="25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5"/>
          <w:szCs w:val="25"/>
        </w:rPr>
        <w:t>年</w:t>
      </w:r>
      <w:r>
        <w:rPr>
          <w:rFonts w:hint="eastAsia" w:ascii="宋体" w:hAnsi="宋体" w:eastAsia="宋体" w:cs="Times New Roman"/>
          <w:sz w:val="25"/>
          <w:szCs w:val="25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5"/>
          <w:szCs w:val="25"/>
        </w:rPr>
        <w:t>月</w:t>
      </w:r>
      <w:r>
        <w:rPr>
          <w:rFonts w:hint="eastAsia" w:ascii="宋体" w:hAnsi="宋体" w:eastAsia="宋体" w:cs="Times New Roman"/>
          <w:sz w:val="25"/>
          <w:szCs w:val="25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5"/>
          <w:szCs w:val="25"/>
        </w:rPr>
        <w:t>日止，并授牌、公布。</w:t>
      </w:r>
      <w:r>
        <w:rPr>
          <w:rFonts w:hint="eastAsia" w:ascii="Calibri" w:hAnsi="Calibri" w:eastAsia="宋体" w:cs="Times New Roman"/>
          <w:sz w:val="25"/>
          <w:szCs w:val="25"/>
        </w:rPr>
        <w:t>协议期满后，乙方可享有续签协议优先权。</w:t>
      </w:r>
    </w:p>
    <w:p>
      <w:pPr>
        <w:spacing w:line="430" w:lineRule="exact"/>
        <w:ind w:firstLine="482" w:firstLineChars="192"/>
        <w:jc w:val="left"/>
        <w:rPr>
          <w:rFonts w:hint="eastAsia" w:ascii="宋体" w:hAnsi="宋体" w:eastAsia="宋体" w:cs="Times New Roman"/>
          <w:b/>
          <w:sz w:val="25"/>
          <w:szCs w:val="25"/>
        </w:rPr>
      </w:pPr>
      <w:r>
        <w:rPr>
          <w:rFonts w:hint="eastAsia" w:ascii="宋体" w:hAnsi="宋体" w:eastAsia="宋体" w:cs="Times New Roman"/>
          <w:b/>
          <w:sz w:val="25"/>
          <w:szCs w:val="25"/>
        </w:rPr>
        <w:t>二、乙方工作职责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1、平时做好日常的粮食供应和服务；认真做好粮食经营台账记录，并于月后4日前向温州市粮食局购销调控处报送《粮食经营收支月报表》（可电脑报送）。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2、应急供应时，应绝对执行市政府的应急供应任务，认真执行政府的有关粮食销售价格和供应办法等规定，做好粮食的接收和保管工作。按规定做好销售记录和结算资料。粮食供应场所面积应与当地供应数相适应，以保证正常供应的需要。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3、“粮食应急供应网点”牌匾应摆放在网点的明显处，并妥善保管好，不得随意损坏或移作他用。</w:t>
      </w:r>
    </w:p>
    <w:p>
      <w:pPr>
        <w:spacing w:line="430" w:lineRule="exact"/>
        <w:ind w:firstLine="482" w:firstLineChars="192"/>
        <w:jc w:val="left"/>
        <w:rPr>
          <w:rFonts w:hint="eastAsia" w:ascii="宋体" w:hAnsi="宋体" w:eastAsia="宋体" w:cs="Times New Roman"/>
          <w:b/>
          <w:sz w:val="25"/>
          <w:szCs w:val="25"/>
        </w:rPr>
      </w:pPr>
      <w:r>
        <w:rPr>
          <w:rFonts w:hint="eastAsia" w:ascii="宋体" w:hAnsi="宋体" w:eastAsia="宋体" w:cs="Times New Roman"/>
          <w:b/>
          <w:sz w:val="25"/>
          <w:szCs w:val="25"/>
        </w:rPr>
        <w:t>三、粮食应急供应点的管理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乙方平时应按照有关部门的要求进行管理。甲方授市政府委托平时按粮食局工作职能对全市粮食供应进行监管；应急时对粮食应急供应点进行全面的粮食供应管理，乙方必须服从并做好工作。</w:t>
      </w:r>
    </w:p>
    <w:p>
      <w:pPr>
        <w:spacing w:line="430" w:lineRule="exact"/>
        <w:ind w:firstLine="482" w:firstLineChars="192"/>
        <w:jc w:val="left"/>
        <w:rPr>
          <w:rFonts w:hint="eastAsia" w:ascii="宋体" w:hAnsi="宋体" w:eastAsia="宋体" w:cs="Times New Roman"/>
          <w:b/>
          <w:sz w:val="25"/>
          <w:szCs w:val="25"/>
        </w:rPr>
      </w:pPr>
      <w:r>
        <w:rPr>
          <w:rFonts w:hint="eastAsia" w:ascii="宋体" w:hAnsi="宋体" w:eastAsia="宋体" w:cs="Times New Roman"/>
          <w:b/>
          <w:sz w:val="25"/>
          <w:szCs w:val="25"/>
        </w:rPr>
        <w:t>四、奖励或补助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乙方年度内经营守法、服务优质、经营台账记录齐全、上报报表准确及时、服从政府管理的，经年度工作量考核，给予一定工作经费补助。</w:t>
      </w:r>
    </w:p>
    <w:p>
      <w:pPr>
        <w:spacing w:line="430" w:lineRule="exact"/>
        <w:ind w:firstLine="482" w:firstLineChars="192"/>
        <w:jc w:val="left"/>
        <w:rPr>
          <w:rFonts w:hint="eastAsia" w:ascii="宋体" w:hAnsi="宋体" w:eastAsia="宋体" w:cs="Times New Roman"/>
          <w:b/>
          <w:sz w:val="25"/>
          <w:szCs w:val="25"/>
        </w:rPr>
      </w:pPr>
      <w:r>
        <w:rPr>
          <w:rFonts w:hint="eastAsia" w:ascii="宋体" w:hAnsi="宋体" w:eastAsia="宋体" w:cs="Times New Roman"/>
          <w:b/>
          <w:sz w:val="25"/>
          <w:szCs w:val="25"/>
        </w:rPr>
        <w:t>五、协议终止、变更处理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（一）有以下情行之一的协议终止。</w:t>
      </w:r>
    </w:p>
    <w:p>
      <w:pPr>
        <w:spacing w:line="400" w:lineRule="exact"/>
        <w:ind w:firstLine="480" w:firstLineChars="192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1、协议期满后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2、因自然灾害或其他（如周边出现易燃易爆有毒污染物等）原因造成不具备粮食供应条件的。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3、应急供应点地址变更的。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4、乙方因违约或其他原因受到甲方撤销粮食应急供应点资格的。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如遇以上第2、3点情行的乙方应提前15天向甲方报告，经甲方核实后终止协议，交回“粮食应急供应网点”牌，牌匾损坏或丢失的照价赔偿。</w:t>
      </w:r>
    </w:p>
    <w:p>
      <w:pPr>
        <w:spacing w:line="400" w:lineRule="exact"/>
        <w:ind w:firstLine="480" w:firstLineChars="192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（二）协议期内因乙方法人或负责人变更的，乙方应在完成变更手续后15日内通知甲方，经甲方审核后，给予变更协议。</w:t>
      </w:r>
    </w:p>
    <w:p>
      <w:pPr>
        <w:spacing w:line="430" w:lineRule="exact"/>
        <w:ind w:firstLine="482" w:firstLineChars="192"/>
        <w:jc w:val="left"/>
        <w:rPr>
          <w:rFonts w:hint="eastAsia" w:ascii="宋体" w:hAnsi="宋体" w:eastAsia="宋体" w:cs="Times New Roman"/>
          <w:b/>
          <w:sz w:val="25"/>
          <w:szCs w:val="25"/>
        </w:rPr>
      </w:pPr>
      <w:r>
        <w:rPr>
          <w:rFonts w:hint="eastAsia" w:ascii="宋体" w:hAnsi="宋体" w:eastAsia="宋体" w:cs="Times New Roman"/>
          <w:b/>
          <w:sz w:val="25"/>
          <w:szCs w:val="25"/>
        </w:rPr>
        <w:t>六、违约责任追究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1、粮食应急供应点年度考核不合格且又不执行甲方的整改通知，甲方有权撤销乙方粮食应急供应点资格。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2、应急时乙方不服从政府调控的，甲方除撤销乙方粮食应急供应点资格外，追回协议期内的所有补助款。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被甲方撤销粮食应急供应点的单位，二年内不得再评定为粮食应急供应点。</w:t>
      </w:r>
    </w:p>
    <w:p>
      <w:pPr>
        <w:spacing w:line="400" w:lineRule="exact"/>
        <w:ind w:firstLine="482" w:firstLineChars="192"/>
        <w:rPr>
          <w:rFonts w:hint="eastAsia" w:ascii="宋体" w:hAnsi="宋体" w:eastAsia="宋体" w:cs="Times New Roman"/>
          <w:b/>
          <w:sz w:val="25"/>
          <w:szCs w:val="25"/>
        </w:rPr>
      </w:pPr>
      <w:r>
        <w:rPr>
          <w:rFonts w:hint="eastAsia" w:ascii="宋体" w:hAnsi="宋体" w:eastAsia="宋体" w:cs="Times New Roman"/>
          <w:b/>
          <w:sz w:val="25"/>
          <w:szCs w:val="25"/>
        </w:rPr>
        <w:t>七、本协议未尽事宜，由双方协商解决。</w:t>
      </w:r>
    </w:p>
    <w:p>
      <w:pPr>
        <w:spacing w:line="430" w:lineRule="exact"/>
        <w:ind w:firstLine="482" w:firstLineChars="192"/>
        <w:jc w:val="left"/>
        <w:rPr>
          <w:rFonts w:hint="eastAsia" w:ascii="宋体" w:hAnsi="宋体" w:eastAsia="宋体" w:cs="Times New Roman"/>
          <w:b/>
          <w:sz w:val="25"/>
          <w:szCs w:val="25"/>
        </w:rPr>
      </w:pPr>
      <w:r>
        <w:rPr>
          <w:rFonts w:hint="eastAsia" w:ascii="宋体" w:hAnsi="宋体" w:eastAsia="宋体" w:cs="Times New Roman"/>
          <w:b/>
          <w:sz w:val="25"/>
          <w:szCs w:val="25"/>
        </w:rPr>
        <w:t>八、本协议一式二份，甲乙双方各执一份，协议甲乙双方签字盖章生效。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附：《粮食经营收支存月报表》、《粮食经营台账（样张）》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甲方：温州市粮食</w:t>
      </w:r>
      <w:r>
        <w:rPr>
          <w:rFonts w:hint="eastAsia" w:ascii="宋体" w:hAnsi="宋体" w:eastAsia="宋体" w:cs="Times New Roman"/>
          <w:sz w:val="25"/>
          <w:szCs w:val="25"/>
          <w:lang w:eastAsia="zh-CN"/>
        </w:rPr>
        <w:t>和物资储备</w:t>
      </w:r>
      <w:r>
        <w:rPr>
          <w:rFonts w:hint="eastAsia" w:ascii="宋体" w:hAnsi="宋体" w:eastAsia="宋体" w:cs="Times New Roman"/>
          <w:sz w:val="25"/>
          <w:szCs w:val="25"/>
        </w:rPr>
        <w:t>局　　乙方：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代表：　　　　　　　　　　　　　代表：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地址：温州市南塘住宅区一组团    地址：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 xml:space="preserve">      1幢</w:t>
      </w:r>
      <w:r>
        <w:rPr>
          <w:rFonts w:hint="eastAsia" w:ascii="宋体" w:hAnsi="宋体" w:eastAsia="宋体" w:cs="Times New Roman"/>
          <w:sz w:val="25"/>
          <w:szCs w:val="25"/>
          <w:lang w:val="en-US" w:eastAsia="zh-CN"/>
        </w:rPr>
        <w:t>9</w:t>
      </w:r>
      <w:r>
        <w:rPr>
          <w:rFonts w:hint="eastAsia" w:ascii="宋体" w:hAnsi="宋体" w:eastAsia="宋体" w:cs="Times New Roman"/>
          <w:sz w:val="25"/>
          <w:szCs w:val="25"/>
        </w:rPr>
        <w:t xml:space="preserve">楼                                            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联系电话：</w:t>
      </w:r>
      <w:r>
        <w:rPr>
          <w:rFonts w:hint="eastAsia" w:ascii="宋体" w:hAnsi="宋体" w:eastAsia="宋体" w:cs="Times New Roman"/>
          <w:sz w:val="25"/>
          <w:szCs w:val="25"/>
          <w:lang w:val="en-US" w:eastAsia="zh-CN"/>
        </w:rPr>
        <w:t>88865613</w:t>
      </w:r>
      <w:r>
        <w:rPr>
          <w:rFonts w:hint="eastAsia" w:ascii="宋体" w:hAnsi="宋体" w:eastAsia="宋体" w:cs="Times New Roman"/>
          <w:sz w:val="25"/>
          <w:szCs w:val="25"/>
        </w:rPr>
        <w:t xml:space="preserve">        </w:t>
      </w:r>
      <w:r>
        <w:rPr>
          <w:rFonts w:hint="eastAsia" w:ascii="宋体" w:hAnsi="宋体" w:eastAsia="宋体" w:cs="Times New Roman"/>
          <w:sz w:val="25"/>
          <w:szCs w:val="25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5"/>
          <w:szCs w:val="25"/>
        </w:rPr>
        <w:t xml:space="preserve">     联系电话：</w:t>
      </w:r>
    </w:p>
    <w:p>
      <w:pPr>
        <w:spacing w:line="430" w:lineRule="exact"/>
        <w:ind w:firstLine="480" w:firstLineChars="192"/>
        <w:jc w:val="left"/>
        <w:rPr>
          <w:rFonts w:hint="eastAsia" w:ascii="宋体" w:hAnsi="宋体" w:eastAsia="宋体" w:cs="Times New Roman"/>
          <w:sz w:val="25"/>
          <w:szCs w:val="25"/>
        </w:rPr>
      </w:pPr>
    </w:p>
    <w:p>
      <w:pPr>
        <w:spacing w:line="430" w:lineRule="exact"/>
        <w:jc w:val="left"/>
        <w:rPr>
          <w:rFonts w:hint="eastAsia" w:ascii="宋体" w:hAnsi="宋体" w:eastAsia="宋体" w:cs="Times New Roman"/>
          <w:sz w:val="25"/>
          <w:szCs w:val="25"/>
        </w:rPr>
      </w:pPr>
    </w:p>
    <w:p>
      <w:pPr>
        <w:spacing w:line="430" w:lineRule="exact"/>
        <w:ind w:firstLine="4730" w:firstLineChars="1892"/>
        <w:jc w:val="left"/>
        <w:rPr>
          <w:rFonts w:hint="eastAsia" w:ascii="宋体" w:hAnsi="宋体" w:eastAsia="宋体" w:cs="Times New Roman"/>
          <w:sz w:val="25"/>
          <w:szCs w:val="25"/>
        </w:rPr>
      </w:pPr>
      <w:r>
        <w:rPr>
          <w:rFonts w:hint="eastAsia" w:ascii="宋体" w:hAnsi="宋体" w:eastAsia="宋体" w:cs="Times New Roman"/>
          <w:sz w:val="25"/>
          <w:szCs w:val="25"/>
        </w:rPr>
        <w:t>签约时间：</w:t>
      </w:r>
      <w:r>
        <w:rPr>
          <w:rFonts w:hint="eastAsia" w:ascii="宋体" w:hAnsi="宋体" w:eastAsia="宋体" w:cs="Times New Roman"/>
          <w:sz w:val="25"/>
          <w:szCs w:val="25"/>
          <w:lang w:val="en-US" w:eastAsia="zh-CN"/>
        </w:rPr>
        <w:t xml:space="preserve">   </w:t>
      </w:r>
      <w:r>
        <w:rPr>
          <w:rFonts w:hint="eastAsia" w:ascii="宋体" w:hAnsi="宋体" w:cs="Times New Roman"/>
          <w:sz w:val="25"/>
          <w:szCs w:val="25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5"/>
          <w:szCs w:val="25"/>
        </w:rPr>
        <w:t>年</w:t>
      </w:r>
      <w:r>
        <w:rPr>
          <w:rFonts w:hint="eastAsia" w:ascii="宋体" w:hAnsi="宋体" w:eastAsia="宋体" w:cs="Times New Roman"/>
          <w:sz w:val="25"/>
          <w:szCs w:val="25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5"/>
          <w:szCs w:val="25"/>
        </w:rPr>
        <w:t>月</w:t>
      </w:r>
      <w:r>
        <w:rPr>
          <w:rFonts w:hint="eastAsia" w:ascii="宋体" w:hAnsi="宋体" w:eastAsia="宋体" w:cs="Times New Roman"/>
          <w:sz w:val="25"/>
          <w:szCs w:val="25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5"/>
          <w:szCs w:val="25"/>
        </w:rPr>
        <w:t>日</w:t>
      </w:r>
    </w:p>
    <w:p>
      <w:pPr>
        <w:pStyle w:val="2"/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0" w:h="16838"/>
      <w:pgMar w:top="1644" w:right="1587" w:bottom="1417" w:left="1587" w:header="850" w:footer="964" w:gutter="0"/>
      <w:pgNumType w:fmt="decimal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ZXBSJW--GB1-0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isplayBackgroundShape w:val="1"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0ZWViOGU2ZmNkNDYzMTRlNjFlMmZhODljZTBkOTcifQ=="/>
  </w:docVars>
  <w:rsids>
    <w:rsidRoot w:val="004A60BD"/>
    <w:rsid w:val="00003B76"/>
    <w:rsid w:val="00011B47"/>
    <w:rsid w:val="00012DF5"/>
    <w:rsid w:val="0001563D"/>
    <w:rsid w:val="00024C52"/>
    <w:rsid w:val="00037032"/>
    <w:rsid w:val="00043415"/>
    <w:rsid w:val="00045A62"/>
    <w:rsid w:val="00051D56"/>
    <w:rsid w:val="000526AB"/>
    <w:rsid w:val="00053874"/>
    <w:rsid w:val="00055B71"/>
    <w:rsid w:val="0006264B"/>
    <w:rsid w:val="000712A8"/>
    <w:rsid w:val="00072398"/>
    <w:rsid w:val="0007597D"/>
    <w:rsid w:val="000767BB"/>
    <w:rsid w:val="000819EF"/>
    <w:rsid w:val="00084F15"/>
    <w:rsid w:val="000851E8"/>
    <w:rsid w:val="0009255A"/>
    <w:rsid w:val="00092A68"/>
    <w:rsid w:val="0009467D"/>
    <w:rsid w:val="00095B6F"/>
    <w:rsid w:val="00096262"/>
    <w:rsid w:val="000A0562"/>
    <w:rsid w:val="000A10F5"/>
    <w:rsid w:val="000A17DF"/>
    <w:rsid w:val="000A1945"/>
    <w:rsid w:val="000A22E7"/>
    <w:rsid w:val="000A2F81"/>
    <w:rsid w:val="000A405F"/>
    <w:rsid w:val="000A4497"/>
    <w:rsid w:val="000A6EBC"/>
    <w:rsid w:val="000B30B3"/>
    <w:rsid w:val="000B3A8C"/>
    <w:rsid w:val="000C6143"/>
    <w:rsid w:val="000C7FA6"/>
    <w:rsid w:val="000D0DD0"/>
    <w:rsid w:val="000D42A0"/>
    <w:rsid w:val="000D62FE"/>
    <w:rsid w:val="000D7F42"/>
    <w:rsid w:val="000E3ACF"/>
    <w:rsid w:val="000F4D69"/>
    <w:rsid w:val="000F5F27"/>
    <w:rsid w:val="000F6562"/>
    <w:rsid w:val="000F691A"/>
    <w:rsid w:val="000F7979"/>
    <w:rsid w:val="0010233D"/>
    <w:rsid w:val="00106120"/>
    <w:rsid w:val="00106B74"/>
    <w:rsid w:val="0010747D"/>
    <w:rsid w:val="001078D3"/>
    <w:rsid w:val="0011154E"/>
    <w:rsid w:val="00123395"/>
    <w:rsid w:val="0012617F"/>
    <w:rsid w:val="001320A8"/>
    <w:rsid w:val="00137BEA"/>
    <w:rsid w:val="00140D97"/>
    <w:rsid w:val="00147067"/>
    <w:rsid w:val="001502E3"/>
    <w:rsid w:val="00151A6C"/>
    <w:rsid w:val="00154334"/>
    <w:rsid w:val="00154FBE"/>
    <w:rsid w:val="00156222"/>
    <w:rsid w:val="00157133"/>
    <w:rsid w:val="00163EA0"/>
    <w:rsid w:val="00170EDF"/>
    <w:rsid w:val="0017106E"/>
    <w:rsid w:val="00171A22"/>
    <w:rsid w:val="00173591"/>
    <w:rsid w:val="0017636E"/>
    <w:rsid w:val="001769C1"/>
    <w:rsid w:val="00181E71"/>
    <w:rsid w:val="001827A5"/>
    <w:rsid w:val="001847D6"/>
    <w:rsid w:val="00185616"/>
    <w:rsid w:val="0019332A"/>
    <w:rsid w:val="00194390"/>
    <w:rsid w:val="001975FE"/>
    <w:rsid w:val="001A0BBE"/>
    <w:rsid w:val="001B0358"/>
    <w:rsid w:val="001B306E"/>
    <w:rsid w:val="001B4080"/>
    <w:rsid w:val="001B67A0"/>
    <w:rsid w:val="001C25C0"/>
    <w:rsid w:val="001C590C"/>
    <w:rsid w:val="001C5A24"/>
    <w:rsid w:val="001C5BE5"/>
    <w:rsid w:val="001C5D52"/>
    <w:rsid w:val="001C7EE7"/>
    <w:rsid w:val="001D4815"/>
    <w:rsid w:val="001D5A01"/>
    <w:rsid w:val="001E14AE"/>
    <w:rsid w:val="001E1516"/>
    <w:rsid w:val="001E1CFE"/>
    <w:rsid w:val="001E3959"/>
    <w:rsid w:val="001E7EE8"/>
    <w:rsid w:val="001F4362"/>
    <w:rsid w:val="001F5985"/>
    <w:rsid w:val="001F7C13"/>
    <w:rsid w:val="00200572"/>
    <w:rsid w:val="002007C9"/>
    <w:rsid w:val="00202DDF"/>
    <w:rsid w:val="00207003"/>
    <w:rsid w:val="0021025F"/>
    <w:rsid w:val="00211154"/>
    <w:rsid w:val="00224272"/>
    <w:rsid w:val="00225D72"/>
    <w:rsid w:val="00226B29"/>
    <w:rsid w:val="00230211"/>
    <w:rsid w:val="002307A7"/>
    <w:rsid w:val="0023262A"/>
    <w:rsid w:val="0024142C"/>
    <w:rsid w:val="00243808"/>
    <w:rsid w:val="00245837"/>
    <w:rsid w:val="00251608"/>
    <w:rsid w:val="00257BC2"/>
    <w:rsid w:val="00261D8D"/>
    <w:rsid w:val="0026410B"/>
    <w:rsid w:val="0027260A"/>
    <w:rsid w:val="00273F85"/>
    <w:rsid w:val="00276465"/>
    <w:rsid w:val="002908EB"/>
    <w:rsid w:val="00292C23"/>
    <w:rsid w:val="00296920"/>
    <w:rsid w:val="002973EA"/>
    <w:rsid w:val="00297B41"/>
    <w:rsid w:val="002A2F32"/>
    <w:rsid w:val="002B1C07"/>
    <w:rsid w:val="002B56E3"/>
    <w:rsid w:val="002B5C10"/>
    <w:rsid w:val="002B7370"/>
    <w:rsid w:val="002C2EB2"/>
    <w:rsid w:val="002C3975"/>
    <w:rsid w:val="002C5100"/>
    <w:rsid w:val="002C5521"/>
    <w:rsid w:val="002D5402"/>
    <w:rsid w:val="002D59BE"/>
    <w:rsid w:val="002D7FD0"/>
    <w:rsid w:val="002E0497"/>
    <w:rsid w:val="002E0D8A"/>
    <w:rsid w:val="002E2FBB"/>
    <w:rsid w:val="002E6E0A"/>
    <w:rsid w:val="002F07C7"/>
    <w:rsid w:val="002F61B3"/>
    <w:rsid w:val="0031018B"/>
    <w:rsid w:val="003104D3"/>
    <w:rsid w:val="00310C4E"/>
    <w:rsid w:val="00316590"/>
    <w:rsid w:val="00320D1A"/>
    <w:rsid w:val="003242E7"/>
    <w:rsid w:val="0033686B"/>
    <w:rsid w:val="00336A75"/>
    <w:rsid w:val="003431D3"/>
    <w:rsid w:val="003457C0"/>
    <w:rsid w:val="00345FC0"/>
    <w:rsid w:val="00350F10"/>
    <w:rsid w:val="0035187B"/>
    <w:rsid w:val="00353C7A"/>
    <w:rsid w:val="003605D6"/>
    <w:rsid w:val="00361A93"/>
    <w:rsid w:val="0036292A"/>
    <w:rsid w:val="00364D1C"/>
    <w:rsid w:val="003732D3"/>
    <w:rsid w:val="0037479E"/>
    <w:rsid w:val="00377FEA"/>
    <w:rsid w:val="003966B6"/>
    <w:rsid w:val="00396FBB"/>
    <w:rsid w:val="003A0CF2"/>
    <w:rsid w:val="003A198F"/>
    <w:rsid w:val="003A31E1"/>
    <w:rsid w:val="003A66EF"/>
    <w:rsid w:val="003B2151"/>
    <w:rsid w:val="003B7632"/>
    <w:rsid w:val="003C5EA2"/>
    <w:rsid w:val="003E33B1"/>
    <w:rsid w:val="003E73AB"/>
    <w:rsid w:val="003E7629"/>
    <w:rsid w:val="003F087B"/>
    <w:rsid w:val="003F4B14"/>
    <w:rsid w:val="003F4CFE"/>
    <w:rsid w:val="00405435"/>
    <w:rsid w:val="0040568F"/>
    <w:rsid w:val="0040695A"/>
    <w:rsid w:val="00406A3B"/>
    <w:rsid w:val="00407A35"/>
    <w:rsid w:val="00412B8F"/>
    <w:rsid w:val="00416836"/>
    <w:rsid w:val="00423522"/>
    <w:rsid w:val="00424D50"/>
    <w:rsid w:val="00424FD9"/>
    <w:rsid w:val="00425545"/>
    <w:rsid w:val="00425A1E"/>
    <w:rsid w:val="00431DC1"/>
    <w:rsid w:val="004329FC"/>
    <w:rsid w:val="00435AB0"/>
    <w:rsid w:val="00437591"/>
    <w:rsid w:val="00442BCC"/>
    <w:rsid w:val="00447691"/>
    <w:rsid w:val="00452A69"/>
    <w:rsid w:val="00454F38"/>
    <w:rsid w:val="00456688"/>
    <w:rsid w:val="004566BF"/>
    <w:rsid w:val="00456957"/>
    <w:rsid w:val="00461DEA"/>
    <w:rsid w:val="004668C9"/>
    <w:rsid w:val="00467C51"/>
    <w:rsid w:val="00470000"/>
    <w:rsid w:val="0047408A"/>
    <w:rsid w:val="00476C5A"/>
    <w:rsid w:val="00480805"/>
    <w:rsid w:val="00484C9D"/>
    <w:rsid w:val="00485AB9"/>
    <w:rsid w:val="00491617"/>
    <w:rsid w:val="00492C55"/>
    <w:rsid w:val="00495268"/>
    <w:rsid w:val="004A1A06"/>
    <w:rsid w:val="004A33F8"/>
    <w:rsid w:val="004A36A3"/>
    <w:rsid w:val="004A4C22"/>
    <w:rsid w:val="004A60BD"/>
    <w:rsid w:val="004B07B0"/>
    <w:rsid w:val="004B2B5C"/>
    <w:rsid w:val="004B67DF"/>
    <w:rsid w:val="004C11BA"/>
    <w:rsid w:val="004C1386"/>
    <w:rsid w:val="004C57A6"/>
    <w:rsid w:val="004D053D"/>
    <w:rsid w:val="004D57DF"/>
    <w:rsid w:val="004D6080"/>
    <w:rsid w:val="004E06BA"/>
    <w:rsid w:val="004E2EFD"/>
    <w:rsid w:val="004E5147"/>
    <w:rsid w:val="004E72A9"/>
    <w:rsid w:val="004E7DFC"/>
    <w:rsid w:val="004E7FFE"/>
    <w:rsid w:val="004F07BE"/>
    <w:rsid w:val="004F38C0"/>
    <w:rsid w:val="004F5305"/>
    <w:rsid w:val="004F69F3"/>
    <w:rsid w:val="004F6C46"/>
    <w:rsid w:val="00500BFB"/>
    <w:rsid w:val="005037A1"/>
    <w:rsid w:val="00505822"/>
    <w:rsid w:val="005104B1"/>
    <w:rsid w:val="00513AA5"/>
    <w:rsid w:val="00522F23"/>
    <w:rsid w:val="005319D3"/>
    <w:rsid w:val="005378D9"/>
    <w:rsid w:val="0054386B"/>
    <w:rsid w:val="00550BFD"/>
    <w:rsid w:val="00553573"/>
    <w:rsid w:val="005615C8"/>
    <w:rsid w:val="00563208"/>
    <w:rsid w:val="005669AB"/>
    <w:rsid w:val="005719E6"/>
    <w:rsid w:val="00576880"/>
    <w:rsid w:val="00586897"/>
    <w:rsid w:val="00587261"/>
    <w:rsid w:val="00594220"/>
    <w:rsid w:val="00594A41"/>
    <w:rsid w:val="005A06A8"/>
    <w:rsid w:val="005A0BCC"/>
    <w:rsid w:val="005A0F20"/>
    <w:rsid w:val="005A3655"/>
    <w:rsid w:val="005A76E6"/>
    <w:rsid w:val="005A7A29"/>
    <w:rsid w:val="005A7E61"/>
    <w:rsid w:val="005B1D72"/>
    <w:rsid w:val="005B38BC"/>
    <w:rsid w:val="005B3FD4"/>
    <w:rsid w:val="005B5304"/>
    <w:rsid w:val="005C18F1"/>
    <w:rsid w:val="005D150C"/>
    <w:rsid w:val="005D18B6"/>
    <w:rsid w:val="005D1DEC"/>
    <w:rsid w:val="005D1E07"/>
    <w:rsid w:val="005E25AB"/>
    <w:rsid w:val="005E4AE2"/>
    <w:rsid w:val="005E4BF1"/>
    <w:rsid w:val="005E6C26"/>
    <w:rsid w:val="005F0ED5"/>
    <w:rsid w:val="005F20EA"/>
    <w:rsid w:val="005F35DD"/>
    <w:rsid w:val="005F62A0"/>
    <w:rsid w:val="005F76D4"/>
    <w:rsid w:val="005F7F4E"/>
    <w:rsid w:val="00602126"/>
    <w:rsid w:val="006033B2"/>
    <w:rsid w:val="00603BD3"/>
    <w:rsid w:val="0060789E"/>
    <w:rsid w:val="00607C88"/>
    <w:rsid w:val="0062118B"/>
    <w:rsid w:val="00622461"/>
    <w:rsid w:val="00624F56"/>
    <w:rsid w:val="006337F8"/>
    <w:rsid w:val="006352A6"/>
    <w:rsid w:val="006434A7"/>
    <w:rsid w:val="00647A9C"/>
    <w:rsid w:val="00651AE9"/>
    <w:rsid w:val="00653A11"/>
    <w:rsid w:val="00653F64"/>
    <w:rsid w:val="00656293"/>
    <w:rsid w:val="006564E9"/>
    <w:rsid w:val="006617DD"/>
    <w:rsid w:val="00667881"/>
    <w:rsid w:val="00671E95"/>
    <w:rsid w:val="006720B5"/>
    <w:rsid w:val="00673ACC"/>
    <w:rsid w:val="00674F5C"/>
    <w:rsid w:val="00684827"/>
    <w:rsid w:val="006851C5"/>
    <w:rsid w:val="00685739"/>
    <w:rsid w:val="006861EF"/>
    <w:rsid w:val="00686A1E"/>
    <w:rsid w:val="0069055D"/>
    <w:rsid w:val="00692C80"/>
    <w:rsid w:val="00693E85"/>
    <w:rsid w:val="00696838"/>
    <w:rsid w:val="00696B78"/>
    <w:rsid w:val="006A13FA"/>
    <w:rsid w:val="006B6E34"/>
    <w:rsid w:val="006D01FA"/>
    <w:rsid w:val="006D1A70"/>
    <w:rsid w:val="006D28D1"/>
    <w:rsid w:val="006D37BB"/>
    <w:rsid w:val="006D532A"/>
    <w:rsid w:val="006E1285"/>
    <w:rsid w:val="006E147F"/>
    <w:rsid w:val="006E561B"/>
    <w:rsid w:val="006E5BD2"/>
    <w:rsid w:val="006E688C"/>
    <w:rsid w:val="006F09C3"/>
    <w:rsid w:val="006F6033"/>
    <w:rsid w:val="00700C8E"/>
    <w:rsid w:val="00702051"/>
    <w:rsid w:val="007026D6"/>
    <w:rsid w:val="007035B0"/>
    <w:rsid w:val="00707486"/>
    <w:rsid w:val="0071069E"/>
    <w:rsid w:val="00720F30"/>
    <w:rsid w:val="00723C16"/>
    <w:rsid w:val="00727AD3"/>
    <w:rsid w:val="00734C44"/>
    <w:rsid w:val="0074142A"/>
    <w:rsid w:val="0074161E"/>
    <w:rsid w:val="007434EE"/>
    <w:rsid w:val="00744388"/>
    <w:rsid w:val="007540E1"/>
    <w:rsid w:val="00767042"/>
    <w:rsid w:val="00771F4C"/>
    <w:rsid w:val="00772192"/>
    <w:rsid w:val="007908BD"/>
    <w:rsid w:val="007937AE"/>
    <w:rsid w:val="007B1EF1"/>
    <w:rsid w:val="007B29D5"/>
    <w:rsid w:val="007B75FE"/>
    <w:rsid w:val="007B7BB6"/>
    <w:rsid w:val="007C0664"/>
    <w:rsid w:val="007C17F2"/>
    <w:rsid w:val="007C1A49"/>
    <w:rsid w:val="007C5804"/>
    <w:rsid w:val="007C67B5"/>
    <w:rsid w:val="007E0970"/>
    <w:rsid w:val="007E4BBC"/>
    <w:rsid w:val="007E5F97"/>
    <w:rsid w:val="007F1206"/>
    <w:rsid w:val="0080252D"/>
    <w:rsid w:val="00807024"/>
    <w:rsid w:val="00810E5C"/>
    <w:rsid w:val="008118DE"/>
    <w:rsid w:val="0081419E"/>
    <w:rsid w:val="008145DE"/>
    <w:rsid w:val="00814FB0"/>
    <w:rsid w:val="00821C4F"/>
    <w:rsid w:val="00822647"/>
    <w:rsid w:val="00822A32"/>
    <w:rsid w:val="00822D88"/>
    <w:rsid w:val="00824543"/>
    <w:rsid w:val="0082635A"/>
    <w:rsid w:val="00833A62"/>
    <w:rsid w:val="00837A3E"/>
    <w:rsid w:val="00837B5C"/>
    <w:rsid w:val="0084049C"/>
    <w:rsid w:val="0084065D"/>
    <w:rsid w:val="00841635"/>
    <w:rsid w:val="00850BC1"/>
    <w:rsid w:val="008521A3"/>
    <w:rsid w:val="008532E5"/>
    <w:rsid w:val="00857405"/>
    <w:rsid w:val="00861A73"/>
    <w:rsid w:val="00866F1E"/>
    <w:rsid w:val="008713D3"/>
    <w:rsid w:val="00871CF2"/>
    <w:rsid w:val="00877AA5"/>
    <w:rsid w:val="00885B0E"/>
    <w:rsid w:val="00887708"/>
    <w:rsid w:val="00887EC7"/>
    <w:rsid w:val="00893420"/>
    <w:rsid w:val="0089388C"/>
    <w:rsid w:val="008A09E7"/>
    <w:rsid w:val="008A31BD"/>
    <w:rsid w:val="008A350C"/>
    <w:rsid w:val="008A458E"/>
    <w:rsid w:val="008B206A"/>
    <w:rsid w:val="008B2D8E"/>
    <w:rsid w:val="008B7402"/>
    <w:rsid w:val="008B7CAF"/>
    <w:rsid w:val="008B7EBE"/>
    <w:rsid w:val="008C0F8E"/>
    <w:rsid w:val="008C10B6"/>
    <w:rsid w:val="008C15C2"/>
    <w:rsid w:val="008C1A8E"/>
    <w:rsid w:val="008C2FCD"/>
    <w:rsid w:val="008D0BDC"/>
    <w:rsid w:val="008D1C85"/>
    <w:rsid w:val="008D34B5"/>
    <w:rsid w:val="008D7441"/>
    <w:rsid w:val="008E270E"/>
    <w:rsid w:val="008E313D"/>
    <w:rsid w:val="008E4F98"/>
    <w:rsid w:val="008E68CD"/>
    <w:rsid w:val="008F3B69"/>
    <w:rsid w:val="009020F5"/>
    <w:rsid w:val="009113F8"/>
    <w:rsid w:val="00912051"/>
    <w:rsid w:val="0092186D"/>
    <w:rsid w:val="00922853"/>
    <w:rsid w:val="009240CB"/>
    <w:rsid w:val="00924A16"/>
    <w:rsid w:val="009265F3"/>
    <w:rsid w:val="00930147"/>
    <w:rsid w:val="00931451"/>
    <w:rsid w:val="00931ADE"/>
    <w:rsid w:val="00934C23"/>
    <w:rsid w:val="00936A70"/>
    <w:rsid w:val="00936C2C"/>
    <w:rsid w:val="00940778"/>
    <w:rsid w:val="009407AD"/>
    <w:rsid w:val="009561BB"/>
    <w:rsid w:val="00957D93"/>
    <w:rsid w:val="00960BAA"/>
    <w:rsid w:val="009636AD"/>
    <w:rsid w:val="00967376"/>
    <w:rsid w:val="00971546"/>
    <w:rsid w:val="00981560"/>
    <w:rsid w:val="00981587"/>
    <w:rsid w:val="00983C3A"/>
    <w:rsid w:val="009844CD"/>
    <w:rsid w:val="0098503C"/>
    <w:rsid w:val="00987087"/>
    <w:rsid w:val="009902BD"/>
    <w:rsid w:val="00991808"/>
    <w:rsid w:val="009941E6"/>
    <w:rsid w:val="009968B2"/>
    <w:rsid w:val="00996B9A"/>
    <w:rsid w:val="009A13B3"/>
    <w:rsid w:val="009B02A8"/>
    <w:rsid w:val="009B2C61"/>
    <w:rsid w:val="009B5921"/>
    <w:rsid w:val="009B5E5B"/>
    <w:rsid w:val="009B7B87"/>
    <w:rsid w:val="009D0AD7"/>
    <w:rsid w:val="009D3935"/>
    <w:rsid w:val="009E5DCC"/>
    <w:rsid w:val="009F00EE"/>
    <w:rsid w:val="009F017B"/>
    <w:rsid w:val="009F06B3"/>
    <w:rsid w:val="009F193E"/>
    <w:rsid w:val="009F40B1"/>
    <w:rsid w:val="009F43ED"/>
    <w:rsid w:val="00A01BC1"/>
    <w:rsid w:val="00A136A3"/>
    <w:rsid w:val="00A1658E"/>
    <w:rsid w:val="00A176C1"/>
    <w:rsid w:val="00A21C8F"/>
    <w:rsid w:val="00A2313A"/>
    <w:rsid w:val="00A31556"/>
    <w:rsid w:val="00A429D2"/>
    <w:rsid w:val="00A444B0"/>
    <w:rsid w:val="00A45188"/>
    <w:rsid w:val="00A45C10"/>
    <w:rsid w:val="00A54935"/>
    <w:rsid w:val="00A55A20"/>
    <w:rsid w:val="00A55F63"/>
    <w:rsid w:val="00A57692"/>
    <w:rsid w:val="00A60A9A"/>
    <w:rsid w:val="00A62100"/>
    <w:rsid w:val="00A637BB"/>
    <w:rsid w:val="00A63FC2"/>
    <w:rsid w:val="00A739BC"/>
    <w:rsid w:val="00A73F17"/>
    <w:rsid w:val="00A767B3"/>
    <w:rsid w:val="00A95211"/>
    <w:rsid w:val="00A967DE"/>
    <w:rsid w:val="00A97143"/>
    <w:rsid w:val="00A97DE9"/>
    <w:rsid w:val="00AA18F9"/>
    <w:rsid w:val="00AA31C5"/>
    <w:rsid w:val="00AA62CE"/>
    <w:rsid w:val="00AB0484"/>
    <w:rsid w:val="00AB0C00"/>
    <w:rsid w:val="00AB0DE5"/>
    <w:rsid w:val="00AB45EA"/>
    <w:rsid w:val="00AB5EF8"/>
    <w:rsid w:val="00AB7297"/>
    <w:rsid w:val="00AB7DAB"/>
    <w:rsid w:val="00AC330F"/>
    <w:rsid w:val="00AD10B8"/>
    <w:rsid w:val="00AD1391"/>
    <w:rsid w:val="00AD5250"/>
    <w:rsid w:val="00AD6B27"/>
    <w:rsid w:val="00AF402B"/>
    <w:rsid w:val="00AF5AC4"/>
    <w:rsid w:val="00B00178"/>
    <w:rsid w:val="00B01EF8"/>
    <w:rsid w:val="00B030A5"/>
    <w:rsid w:val="00B10473"/>
    <w:rsid w:val="00B15617"/>
    <w:rsid w:val="00B15ED6"/>
    <w:rsid w:val="00B16690"/>
    <w:rsid w:val="00B174E7"/>
    <w:rsid w:val="00B23880"/>
    <w:rsid w:val="00B3445D"/>
    <w:rsid w:val="00B35236"/>
    <w:rsid w:val="00B44215"/>
    <w:rsid w:val="00B44FF8"/>
    <w:rsid w:val="00B45B5E"/>
    <w:rsid w:val="00B52CBD"/>
    <w:rsid w:val="00B55060"/>
    <w:rsid w:val="00B571FC"/>
    <w:rsid w:val="00B57640"/>
    <w:rsid w:val="00B637E4"/>
    <w:rsid w:val="00B645C5"/>
    <w:rsid w:val="00B708C9"/>
    <w:rsid w:val="00B82108"/>
    <w:rsid w:val="00B82F5B"/>
    <w:rsid w:val="00B84E58"/>
    <w:rsid w:val="00BA0295"/>
    <w:rsid w:val="00BA6BD9"/>
    <w:rsid w:val="00BB5CEE"/>
    <w:rsid w:val="00BC09D4"/>
    <w:rsid w:val="00BC14C1"/>
    <w:rsid w:val="00BD13C3"/>
    <w:rsid w:val="00BD33D3"/>
    <w:rsid w:val="00BE028D"/>
    <w:rsid w:val="00BE0362"/>
    <w:rsid w:val="00BE3199"/>
    <w:rsid w:val="00BE6EC0"/>
    <w:rsid w:val="00BF48CE"/>
    <w:rsid w:val="00C0412C"/>
    <w:rsid w:val="00C12635"/>
    <w:rsid w:val="00C1343A"/>
    <w:rsid w:val="00C1399C"/>
    <w:rsid w:val="00C21114"/>
    <w:rsid w:val="00C27D3E"/>
    <w:rsid w:val="00C32374"/>
    <w:rsid w:val="00C3304D"/>
    <w:rsid w:val="00C33586"/>
    <w:rsid w:val="00C336E9"/>
    <w:rsid w:val="00C34665"/>
    <w:rsid w:val="00C41B61"/>
    <w:rsid w:val="00C44213"/>
    <w:rsid w:val="00C50885"/>
    <w:rsid w:val="00C55193"/>
    <w:rsid w:val="00C579B6"/>
    <w:rsid w:val="00C60F97"/>
    <w:rsid w:val="00C61019"/>
    <w:rsid w:val="00C6342B"/>
    <w:rsid w:val="00C66826"/>
    <w:rsid w:val="00C71D6F"/>
    <w:rsid w:val="00C7231E"/>
    <w:rsid w:val="00C8239D"/>
    <w:rsid w:val="00C85A32"/>
    <w:rsid w:val="00C90828"/>
    <w:rsid w:val="00C937F8"/>
    <w:rsid w:val="00C95C60"/>
    <w:rsid w:val="00CA286F"/>
    <w:rsid w:val="00CA5C3C"/>
    <w:rsid w:val="00CB0FD4"/>
    <w:rsid w:val="00CB1CFC"/>
    <w:rsid w:val="00CC03F2"/>
    <w:rsid w:val="00CC08D1"/>
    <w:rsid w:val="00CC5174"/>
    <w:rsid w:val="00CC61BB"/>
    <w:rsid w:val="00CD113E"/>
    <w:rsid w:val="00CD3702"/>
    <w:rsid w:val="00CD5F8D"/>
    <w:rsid w:val="00CE0489"/>
    <w:rsid w:val="00CE0566"/>
    <w:rsid w:val="00CE37A7"/>
    <w:rsid w:val="00CF2138"/>
    <w:rsid w:val="00CF4101"/>
    <w:rsid w:val="00CF6982"/>
    <w:rsid w:val="00D014F0"/>
    <w:rsid w:val="00D042E6"/>
    <w:rsid w:val="00D04879"/>
    <w:rsid w:val="00D1051D"/>
    <w:rsid w:val="00D13B3B"/>
    <w:rsid w:val="00D1495B"/>
    <w:rsid w:val="00D17222"/>
    <w:rsid w:val="00D22C61"/>
    <w:rsid w:val="00D27FD7"/>
    <w:rsid w:val="00D30FBC"/>
    <w:rsid w:val="00D35D23"/>
    <w:rsid w:val="00D40092"/>
    <w:rsid w:val="00D42F3E"/>
    <w:rsid w:val="00D46663"/>
    <w:rsid w:val="00D632B4"/>
    <w:rsid w:val="00D6411B"/>
    <w:rsid w:val="00D801E4"/>
    <w:rsid w:val="00D8467B"/>
    <w:rsid w:val="00D92294"/>
    <w:rsid w:val="00D9426D"/>
    <w:rsid w:val="00D96831"/>
    <w:rsid w:val="00D9728F"/>
    <w:rsid w:val="00DA0C6F"/>
    <w:rsid w:val="00DA5B6F"/>
    <w:rsid w:val="00DA607F"/>
    <w:rsid w:val="00DA6163"/>
    <w:rsid w:val="00DB227A"/>
    <w:rsid w:val="00DB2302"/>
    <w:rsid w:val="00DB3858"/>
    <w:rsid w:val="00DC1066"/>
    <w:rsid w:val="00DC4650"/>
    <w:rsid w:val="00DD263A"/>
    <w:rsid w:val="00DD4E2C"/>
    <w:rsid w:val="00DD7260"/>
    <w:rsid w:val="00DD79F6"/>
    <w:rsid w:val="00DE091E"/>
    <w:rsid w:val="00DF23AF"/>
    <w:rsid w:val="00DF63F4"/>
    <w:rsid w:val="00DF7DE7"/>
    <w:rsid w:val="00E02780"/>
    <w:rsid w:val="00E03EA7"/>
    <w:rsid w:val="00E0462F"/>
    <w:rsid w:val="00E05A09"/>
    <w:rsid w:val="00E13227"/>
    <w:rsid w:val="00E14579"/>
    <w:rsid w:val="00E161EF"/>
    <w:rsid w:val="00E175FE"/>
    <w:rsid w:val="00E26A4D"/>
    <w:rsid w:val="00E26F04"/>
    <w:rsid w:val="00E35332"/>
    <w:rsid w:val="00E36129"/>
    <w:rsid w:val="00E41330"/>
    <w:rsid w:val="00E41A08"/>
    <w:rsid w:val="00E43AD4"/>
    <w:rsid w:val="00E43E2F"/>
    <w:rsid w:val="00E45D74"/>
    <w:rsid w:val="00E507FD"/>
    <w:rsid w:val="00E5237E"/>
    <w:rsid w:val="00E57666"/>
    <w:rsid w:val="00E64628"/>
    <w:rsid w:val="00E66DA7"/>
    <w:rsid w:val="00E67C1B"/>
    <w:rsid w:val="00E87C88"/>
    <w:rsid w:val="00E918A1"/>
    <w:rsid w:val="00E94C26"/>
    <w:rsid w:val="00E97265"/>
    <w:rsid w:val="00E97C3C"/>
    <w:rsid w:val="00EA0D31"/>
    <w:rsid w:val="00EA1184"/>
    <w:rsid w:val="00EA5446"/>
    <w:rsid w:val="00EA6F5D"/>
    <w:rsid w:val="00EB0229"/>
    <w:rsid w:val="00EB0B4E"/>
    <w:rsid w:val="00EB5371"/>
    <w:rsid w:val="00EB5EC4"/>
    <w:rsid w:val="00EC5807"/>
    <w:rsid w:val="00ED7C17"/>
    <w:rsid w:val="00EE027F"/>
    <w:rsid w:val="00EE2514"/>
    <w:rsid w:val="00EE3C0A"/>
    <w:rsid w:val="00EE5B14"/>
    <w:rsid w:val="00EE7E77"/>
    <w:rsid w:val="00EF38E8"/>
    <w:rsid w:val="00EF50F1"/>
    <w:rsid w:val="00EF7EBF"/>
    <w:rsid w:val="00F00EEA"/>
    <w:rsid w:val="00F13293"/>
    <w:rsid w:val="00F278F8"/>
    <w:rsid w:val="00F343AA"/>
    <w:rsid w:val="00F37612"/>
    <w:rsid w:val="00F4013B"/>
    <w:rsid w:val="00F408B6"/>
    <w:rsid w:val="00F4403A"/>
    <w:rsid w:val="00F46D8E"/>
    <w:rsid w:val="00F46E89"/>
    <w:rsid w:val="00F5231F"/>
    <w:rsid w:val="00F55A18"/>
    <w:rsid w:val="00F57324"/>
    <w:rsid w:val="00F60B5D"/>
    <w:rsid w:val="00F664A5"/>
    <w:rsid w:val="00F7399F"/>
    <w:rsid w:val="00F73A92"/>
    <w:rsid w:val="00F752CF"/>
    <w:rsid w:val="00F767EB"/>
    <w:rsid w:val="00F76A8B"/>
    <w:rsid w:val="00F805D4"/>
    <w:rsid w:val="00F80652"/>
    <w:rsid w:val="00F811DF"/>
    <w:rsid w:val="00F85571"/>
    <w:rsid w:val="00F922F5"/>
    <w:rsid w:val="00F93AA9"/>
    <w:rsid w:val="00F95CB6"/>
    <w:rsid w:val="00FA2F4D"/>
    <w:rsid w:val="00FA3280"/>
    <w:rsid w:val="00FA4447"/>
    <w:rsid w:val="00FA4FD1"/>
    <w:rsid w:val="00FB1B46"/>
    <w:rsid w:val="00FB4494"/>
    <w:rsid w:val="00FC6B02"/>
    <w:rsid w:val="00FC7575"/>
    <w:rsid w:val="00FD37EA"/>
    <w:rsid w:val="00FD3F2B"/>
    <w:rsid w:val="00FD7C09"/>
    <w:rsid w:val="00FE2897"/>
    <w:rsid w:val="00FE346F"/>
    <w:rsid w:val="00FE3E27"/>
    <w:rsid w:val="00FE5E7B"/>
    <w:rsid w:val="00FE7BD1"/>
    <w:rsid w:val="00FF0E3C"/>
    <w:rsid w:val="00FF1203"/>
    <w:rsid w:val="01235CC0"/>
    <w:rsid w:val="01C748DA"/>
    <w:rsid w:val="02002577"/>
    <w:rsid w:val="02020366"/>
    <w:rsid w:val="0289499F"/>
    <w:rsid w:val="044C3498"/>
    <w:rsid w:val="044D1515"/>
    <w:rsid w:val="05590C37"/>
    <w:rsid w:val="05FF50F0"/>
    <w:rsid w:val="06396522"/>
    <w:rsid w:val="06993DBD"/>
    <w:rsid w:val="06CD2D6D"/>
    <w:rsid w:val="07267EB8"/>
    <w:rsid w:val="07537F8B"/>
    <w:rsid w:val="086F2493"/>
    <w:rsid w:val="09793344"/>
    <w:rsid w:val="0A054034"/>
    <w:rsid w:val="0A4E5493"/>
    <w:rsid w:val="0A4F1BEA"/>
    <w:rsid w:val="0AA5319E"/>
    <w:rsid w:val="0B063DA1"/>
    <w:rsid w:val="0B18659D"/>
    <w:rsid w:val="0C424FBC"/>
    <w:rsid w:val="0D2242C5"/>
    <w:rsid w:val="0F5853D1"/>
    <w:rsid w:val="104B7207"/>
    <w:rsid w:val="12153264"/>
    <w:rsid w:val="13A92218"/>
    <w:rsid w:val="13EC3A7F"/>
    <w:rsid w:val="13F876BA"/>
    <w:rsid w:val="1500259A"/>
    <w:rsid w:val="162D6C4F"/>
    <w:rsid w:val="17501F0B"/>
    <w:rsid w:val="17771872"/>
    <w:rsid w:val="18EC13FD"/>
    <w:rsid w:val="1A621B90"/>
    <w:rsid w:val="1A902E7F"/>
    <w:rsid w:val="1BD56505"/>
    <w:rsid w:val="1C3648EC"/>
    <w:rsid w:val="1C6F3B48"/>
    <w:rsid w:val="1D2A2723"/>
    <w:rsid w:val="1D4933E9"/>
    <w:rsid w:val="1EED5CD4"/>
    <w:rsid w:val="1F804843"/>
    <w:rsid w:val="1FE10AC5"/>
    <w:rsid w:val="213E6489"/>
    <w:rsid w:val="237D6344"/>
    <w:rsid w:val="24BA7BA5"/>
    <w:rsid w:val="25C56306"/>
    <w:rsid w:val="264045A6"/>
    <w:rsid w:val="26A97DF8"/>
    <w:rsid w:val="27F67418"/>
    <w:rsid w:val="2835437F"/>
    <w:rsid w:val="29230ED4"/>
    <w:rsid w:val="2A7A21E8"/>
    <w:rsid w:val="2B194120"/>
    <w:rsid w:val="2B403EAB"/>
    <w:rsid w:val="2DA0096A"/>
    <w:rsid w:val="2EAA6849"/>
    <w:rsid w:val="2F3B6E2A"/>
    <w:rsid w:val="351A2E13"/>
    <w:rsid w:val="366E1C83"/>
    <w:rsid w:val="37556D30"/>
    <w:rsid w:val="37740E03"/>
    <w:rsid w:val="37A33A63"/>
    <w:rsid w:val="37CA5D6E"/>
    <w:rsid w:val="38156002"/>
    <w:rsid w:val="383371CE"/>
    <w:rsid w:val="3A805D53"/>
    <w:rsid w:val="3B4364A8"/>
    <w:rsid w:val="3C97383B"/>
    <w:rsid w:val="3E624F31"/>
    <w:rsid w:val="3F2234E3"/>
    <w:rsid w:val="41DC1786"/>
    <w:rsid w:val="44344D61"/>
    <w:rsid w:val="44D36F77"/>
    <w:rsid w:val="463F2D29"/>
    <w:rsid w:val="467853A2"/>
    <w:rsid w:val="46CA2826"/>
    <w:rsid w:val="46D140D4"/>
    <w:rsid w:val="46F66861"/>
    <w:rsid w:val="4701499A"/>
    <w:rsid w:val="47762779"/>
    <w:rsid w:val="47DD2CA7"/>
    <w:rsid w:val="4ADB27C6"/>
    <w:rsid w:val="4B0412F1"/>
    <w:rsid w:val="4BBE11D6"/>
    <w:rsid w:val="4D315130"/>
    <w:rsid w:val="4D4966E6"/>
    <w:rsid w:val="505312A7"/>
    <w:rsid w:val="51171800"/>
    <w:rsid w:val="517D37E4"/>
    <w:rsid w:val="51B84C78"/>
    <w:rsid w:val="5219787A"/>
    <w:rsid w:val="5369386C"/>
    <w:rsid w:val="53F05436"/>
    <w:rsid w:val="547F2FAF"/>
    <w:rsid w:val="54AC4C84"/>
    <w:rsid w:val="55C90C9A"/>
    <w:rsid w:val="56517CE8"/>
    <w:rsid w:val="57C831D0"/>
    <w:rsid w:val="57FE7D5C"/>
    <w:rsid w:val="58021B0F"/>
    <w:rsid w:val="58474BB7"/>
    <w:rsid w:val="5A13769E"/>
    <w:rsid w:val="5A7E7FA8"/>
    <w:rsid w:val="5A952859"/>
    <w:rsid w:val="5AC83C31"/>
    <w:rsid w:val="5B251A95"/>
    <w:rsid w:val="5C992EAF"/>
    <w:rsid w:val="5D4F551B"/>
    <w:rsid w:val="5D7B0658"/>
    <w:rsid w:val="5DB16D6F"/>
    <w:rsid w:val="5FF978C1"/>
    <w:rsid w:val="61C5405B"/>
    <w:rsid w:val="64503A6F"/>
    <w:rsid w:val="649D4E24"/>
    <w:rsid w:val="64D3552D"/>
    <w:rsid w:val="65B62F73"/>
    <w:rsid w:val="6618623A"/>
    <w:rsid w:val="66C43252"/>
    <w:rsid w:val="67276921"/>
    <w:rsid w:val="67431387"/>
    <w:rsid w:val="68D13C3E"/>
    <w:rsid w:val="69711D45"/>
    <w:rsid w:val="6A43001B"/>
    <w:rsid w:val="6A635C14"/>
    <w:rsid w:val="6ADD1C0F"/>
    <w:rsid w:val="6DCA4C60"/>
    <w:rsid w:val="6DF650D5"/>
    <w:rsid w:val="6E0C1952"/>
    <w:rsid w:val="6F6C4FF8"/>
    <w:rsid w:val="71D152AC"/>
    <w:rsid w:val="71FB3C09"/>
    <w:rsid w:val="72624EE7"/>
    <w:rsid w:val="731E72AB"/>
    <w:rsid w:val="74CC5F92"/>
    <w:rsid w:val="74D515F0"/>
    <w:rsid w:val="75BC1EDC"/>
    <w:rsid w:val="76734FC6"/>
    <w:rsid w:val="76A47511"/>
    <w:rsid w:val="76CF46C0"/>
    <w:rsid w:val="78446A71"/>
    <w:rsid w:val="79AD1AD1"/>
    <w:rsid w:val="7A04701D"/>
    <w:rsid w:val="7A6E45F6"/>
    <w:rsid w:val="7A8A5E2E"/>
    <w:rsid w:val="7BBF1B07"/>
    <w:rsid w:val="7DFA0BBE"/>
    <w:rsid w:val="7F3D57E5"/>
    <w:rsid w:val="7FCFFE59"/>
    <w:rsid w:val="7FEF604E"/>
    <w:rsid w:val="A1FEC00F"/>
    <w:rsid w:val="A39C47C4"/>
    <w:rsid w:val="BB5E0F95"/>
    <w:rsid w:val="BFCBFC30"/>
    <w:rsid w:val="BFDA5EA9"/>
    <w:rsid w:val="BFFF0F3D"/>
    <w:rsid w:val="BFFF46B9"/>
    <w:rsid w:val="F7CBB642"/>
    <w:rsid w:val="FBFB8F73"/>
    <w:rsid w:val="FDFFE673"/>
    <w:rsid w:val="FFF8BF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qFormat="1" w:unhideWhenUsed="0" w:uiPriority="39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link w:val="13"/>
    <w:semiHidden/>
    <w:unhideWhenUsed/>
    <w:qFormat/>
    <w:uiPriority w:val="1"/>
    <w:rPr>
      <w:rFonts w:ascii="Verdana" w:hAnsi="Verdana" w:eastAsia="仿宋_GB2312"/>
      <w:color w:val="000000"/>
      <w:kern w:val="0"/>
      <w:sz w:val="24"/>
      <w:szCs w:val="20"/>
      <w:u w:color="000000"/>
      <w:lang w:eastAsia="en-US"/>
    </w:rPr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semiHidden/>
    <w:qFormat/>
    <w:uiPriority w:val="99"/>
    <w:pPr>
      <w:spacing w:after="120"/>
    </w:p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6"/>
    <w:basedOn w:val="1"/>
    <w:next w:val="1"/>
    <w:qFormat/>
    <w:locked/>
    <w:uiPriority w:val="39"/>
    <w:pPr>
      <w:widowControl w:val="0"/>
      <w:ind w:left="840"/>
    </w:pPr>
    <w:rPr>
      <w:rFonts w:ascii="Calibri" w:hAnsi="Calibri" w:cs="Calibri"/>
      <w:kern w:val="2"/>
      <w:sz w:val="20"/>
      <w:szCs w:val="20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har Char Char Char"/>
    <w:basedOn w:val="1"/>
    <w:link w:val="12"/>
    <w:qFormat/>
    <w:uiPriority w:val="0"/>
    <w:pPr>
      <w:widowControl/>
      <w:spacing w:after="160" w:line="240" w:lineRule="exact"/>
      <w:ind w:firstLine="419"/>
      <w:jc w:val="left"/>
      <w:textAlignment w:val="baseline"/>
    </w:pPr>
    <w:rPr>
      <w:rFonts w:ascii="Verdana" w:hAnsi="Verdana" w:eastAsia="仿宋_GB2312"/>
      <w:color w:val="000000"/>
      <w:kern w:val="0"/>
      <w:sz w:val="24"/>
      <w:szCs w:val="20"/>
      <w:u w:color="000000"/>
      <w:lang w:eastAsia="en-US"/>
    </w:rPr>
  </w:style>
  <w:style w:type="character" w:styleId="14">
    <w:name w:val="Strong"/>
    <w:basedOn w:val="12"/>
    <w:qFormat/>
    <w:uiPriority w:val="99"/>
    <w:rPr>
      <w:rFonts w:cs="Times New Roman"/>
      <w:b/>
      <w:bCs/>
    </w:rPr>
  </w:style>
  <w:style w:type="character" w:styleId="15">
    <w:name w:val="page number"/>
    <w:basedOn w:val="12"/>
    <w:qFormat/>
    <w:uiPriority w:val="0"/>
  </w:style>
  <w:style w:type="character" w:styleId="16">
    <w:name w:val="Emphasis"/>
    <w:basedOn w:val="12"/>
    <w:qFormat/>
    <w:locked/>
    <w:uiPriority w:val="20"/>
    <w:rPr>
      <w:rFonts w:cs="Times New Roman"/>
      <w:i/>
      <w:iCs/>
    </w:rPr>
  </w:style>
  <w:style w:type="character" w:styleId="17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character" w:customStyle="1" w:styleId="18">
    <w:name w:val="页眉 字符"/>
    <w:basedOn w:val="12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脚 字符"/>
    <w:basedOn w:val="12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日期 字符"/>
    <w:basedOn w:val="12"/>
    <w:link w:val="5"/>
    <w:semiHidden/>
    <w:qFormat/>
    <w:uiPriority w:val="99"/>
    <w:rPr>
      <w:kern w:val="2"/>
      <w:sz w:val="21"/>
      <w:szCs w:val="22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2">
    <w:name w:val="NormalCharacter"/>
    <w:semiHidden/>
    <w:qFormat/>
    <w:uiPriority w:val="0"/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styleId="23">
    <w:name w:val="No Spacing"/>
    <w:qFormat/>
    <w:uiPriority w:val="0"/>
    <w:pPr>
      <w:adjustRightInd w:val="0"/>
      <w:snapToGrid w:val="0"/>
    </w:pPr>
    <w:rPr>
      <w:rFonts w:ascii="Tahoma" w:hAnsi="Tahoma" w:eastAsia="宋体" w:cs="Calibri"/>
      <w:sz w:val="22"/>
      <w:szCs w:val="22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</w:pPr>
    <w:rPr>
      <w:rFonts w:hint="eastAsia"/>
    </w:rPr>
  </w:style>
  <w:style w:type="character" w:customStyle="1" w:styleId="25">
    <w:name w:val="fontstyle01"/>
    <w:basedOn w:val="12"/>
    <w:qFormat/>
    <w:uiPriority w:val="0"/>
    <w:rPr>
      <w:rFonts w:hint="default" w:ascii="FZXBSJW--GB1-0" w:hAnsi="FZXBSJW--GB1-0"/>
      <w:color w:val="000000"/>
      <w:sz w:val="44"/>
      <w:szCs w:val="44"/>
    </w:rPr>
  </w:style>
  <w:style w:type="character" w:customStyle="1" w:styleId="26">
    <w:name w:val="fontstyle21"/>
    <w:basedOn w:val="12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</Words>
  <Characters>7</Characters>
  <Lines>1</Lines>
  <Paragraphs>1</Paragraphs>
  <TotalTime>7</TotalTime>
  <ScaleCrop>false</ScaleCrop>
  <LinksUpToDate>false</LinksUpToDate>
  <CharactersWithSpaces>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2019-10-17T07:08:00Z</dcterms:created>
  <dc:creator>王仁博</dc:creator>
  <cp:lastModifiedBy>市粮食和物资储备局（收文账号）</cp:lastModifiedBy>
  <cp:lastPrinted>2022-06-21T06:53:00Z</cp:lastPrinted>
  <dcterms:modified xsi:type="dcterms:W3CDTF">2022-07-20T02:23:31Z</dcterms:modified>
  <dc:title>关于市委第一巡察组巡察反馈意见的整改方 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88FCD58AFC1F44D6A8E235B13CB8F166</vt:lpwstr>
  </property>
</Properties>
</file>