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早稻收购质价表</w:t>
      </w:r>
    </w:p>
    <w:tbl>
      <w:tblPr>
        <w:tblStyle w:val="8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17"/>
        <w:gridCol w:w="1175"/>
        <w:gridCol w:w="1140"/>
        <w:gridCol w:w="1140"/>
        <w:gridCol w:w="1140"/>
        <w:gridCol w:w="118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一等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二等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三等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四等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（不作订单）</w:t>
            </w:r>
          </w:p>
        </w:tc>
        <w:tc>
          <w:tcPr>
            <w:tcW w:w="11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五等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（不作订单）</w:t>
            </w:r>
          </w:p>
        </w:tc>
        <w:tc>
          <w:tcPr>
            <w:tcW w:w="16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0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b/>
              </w:rPr>
              <w:t>等</w:t>
            </w:r>
            <w:r>
              <w:rPr>
                <w:rFonts w:hint="eastAsia"/>
              </w:rPr>
              <w:t>级标准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出糙率%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≥79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≥77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≥75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≥73</w:t>
            </w:r>
          </w:p>
        </w:tc>
        <w:tc>
          <w:tcPr>
            <w:tcW w:w="1188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≥71</w:t>
            </w:r>
          </w:p>
        </w:tc>
        <w:tc>
          <w:tcPr>
            <w:tcW w:w="16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1、要求色泽气味正常。</w:t>
            </w:r>
          </w:p>
          <w:p>
            <w:pPr>
              <w:spacing w:line="240" w:lineRule="auto"/>
              <w:jc w:val="both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</w:rPr>
              <w:t>2、出糙率低于三等标准、整精米率低于44%、泥芽谷超过4%、黄粒米超过1%、谷外糙米超过</w:t>
            </w:r>
            <w:r>
              <w:rPr>
                <w:rFonts w:hint="eastAsia" w:ascii="宋体" w:hAnsi="宋体"/>
                <w:b w:val="0"/>
                <w:bCs w:val="0"/>
              </w:rPr>
              <w:t>2%、互混率超过5%、生霉粒超过5%、不作订单收购。</w:t>
            </w:r>
          </w:p>
          <w:p>
            <w:pPr>
              <w:spacing w:line="240" w:lineRule="auto"/>
              <w:jc w:val="both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3、等外品、整精米率低于38%、黄粒米超过2%、谷外糙米超过2%、生霉粒超过5%、泥芽谷超过4%、互混率超过20%不作最低收购价收购。</w:t>
            </w:r>
          </w:p>
          <w:p>
            <w:pPr>
              <w:spacing w:line="240" w:lineRule="auto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精整米率%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≥50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≥47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≥44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≥41</w:t>
            </w:r>
          </w:p>
        </w:tc>
        <w:tc>
          <w:tcPr>
            <w:tcW w:w="1188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≥38</w:t>
            </w:r>
          </w:p>
        </w:tc>
        <w:tc>
          <w:tcPr>
            <w:tcW w:w="165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价格（元/斤）</w:t>
            </w:r>
          </w:p>
        </w:tc>
        <w:tc>
          <w:tcPr>
            <w:tcW w:w="11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1.2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59" w:type="dxa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</w:tcBorders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</w:pPr>
            <w:r>
              <w:rPr>
                <w:rFonts w:hint="eastAsia"/>
              </w:rPr>
              <w:t>整精米率</w:t>
            </w:r>
          </w:p>
        </w:tc>
        <w:tc>
          <w:tcPr>
            <w:tcW w:w="1417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49.1-50%</w:t>
            </w:r>
          </w:p>
        </w:tc>
        <w:tc>
          <w:tcPr>
            <w:tcW w:w="117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一等标准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706" w:type="dxa"/>
            <w:vMerge w:val="continue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48.1-49%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-0.75%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47.1-48%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-1.5%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46.1-47%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/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二等标准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45.1-46%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/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-0.75%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44.1-45%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/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-1.5%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43.1-44%</w:t>
            </w:r>
          </w:p>
        </w:tc>
        <w:tc>
          <w:tcPr>
            <w:tcW w:w="117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/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/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三等标准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42.1-43%</w:t>
            </w:r>
          </w:p>
        </w:tc>
        <w:tc>
          <w:tcPr>
            <w:tcW w:w="3455" w:type="dxa"/>
            <w:gridSpan w:val="3"/>
            <w:vMerge w:val="restart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41.1-42%</w:t>
            </w:r>
          </w:p>
        </w:tc>
        <w:tc>
          <w:tcPr>
            <w:tcW w:w="3455" w:type="dxa"/>
            <w:gridSpan w:val="3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40.1-41%</w:t>
            </w:r>
          </w:p>
        </w:tc>
        <w:tc>
          <w:tcPr>
            <w:tcW w:w="3455" w:type="dxa"/>
            <w:gridSpan w:val="3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四等标准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39.1-40%</w:t>
            </w:r>
          </w:p>
        </w:tc>
        <w:tc>
          <w:tcPr>
            <w:tcW w:w="3455" w:type="dxa"/>
            <w:gridSpan w:val="3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-0.75%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38.1-39%</w:t>
            </w:r>
          </w:p>
        </w:tc>
        <w:tc>
          <w:tcPr>
            <w:tcW w:w="3455" w:type="dxa"/>
            <w:gridSpan w:val="3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-1.5%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不升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38%</w:t>
            </w:r>
          </w:p>
        </w:tc>
        <w:tc>
          <w:tcPr>
            <w:tcW w:w="4595" w:type="dxa"/>
            <w:gridSpan w:val="4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五等标准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38%以下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不作订单收购和最低收购价</w:t>
            </w:r>
            <w:r>
              <w:t>收购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</w:pPr>
            <w:r>
              <w:rPr>
                <w:rFonts w:hint="eastAsia"/>
              </w:rPr>
              <w:t>水分增量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13.5%以上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建议农户翻晒、烘干处理达到标准水分收购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color w:val="auto"/>
              </w:rPr>
              <w:t>13.0-13.5%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标准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12.5-12.9%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12.0-12.4%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+1.5%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+1.5%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+1.5%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+1.5%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+1.5%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11.5-11.9%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+2.25%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+2.25%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+2.25%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+2.25%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+2.25%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11.0-11.4%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＜11.0</w:t>
            </w:r>
            <w:r>
              <w:rPr>
                <w:rFonts w:hint="eastAsia"/>
                <w:color w:val="auto"/>
              </w:rPr>
              <w:t>%</w:t>
            </w:r>
          </w:p>
        </w:tc>
        <w:tc>
          <w:tcPr>
            <w:tcW w:w="1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+3%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</w:pPr>
            <w:r>
              <w:rPr>
                <w:rFonts w:hint="eastAsia"/>
              </w:rPr>
              <w:t>杂质</w:t>
            </w:r>
            <w:r>
              <w:rPr>
                <w:rFonts w:hint="eastAsia"/>
                <w:lang w:eastAsia="zh-CN"/>
              </w:rPr>
              <w:t>增</w:t>
            </w:r>
            <w:r>
              <w:rPr>
                <w:rFonts w:hint="eastAsia"/>
              </w:rPr>
              <w:t>扣量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＜0.5%</w:t>
            </w: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+0.75%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0.5-1.4%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标准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1.5-1.9%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扣量1.5%（分仓记录台账备查，并除杂处理入库）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2.0-2.4%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扣量3.0%（分仓记录台账备查，并除杂处理入库）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2.5-2.9%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扣量4.5%（分仓记录台账备查，并除杂处理入库）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3.0-3.4%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扣量6.0%（分仓记录台账备查，并除杂处理入库）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谷外糙米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≤2.0%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标准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﹥2.0%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不作订单收购和最低收购价收购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黄粒米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≤1.0%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标准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1.1-1.9%</w:t>
            </w:r>
          </w:p>
        </w:tc>
        <w:tc>
          <w:tcPr>
            <w:tcW w:w="3455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不扣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不扣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=2.0%</w:t>
            </w:r>
          </w:p>
        </w:tc>
        <w:tc>
          <w:tcPr>
            <w:tcW w:w="345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-1%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﹥</w:t>
            </w:r>
            <w:r>
              <w:rPr>
                <w:rFonts w:hint="eastAsia"/>
                <w:color w:val="auto"/>
              </w:rPr>
              <w:t>2.0%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不作订单收购和最低收购价收购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textAlignment w:val="auto"/>
            </w:pPr>
            <w:r>
              <w:rPr>
                <w:rFonts w:hint="eastAsia"/>
              </w:rPr>
              <w:t>互混率量折价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≤5.0%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标准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5.1-10%</w:t>
            </w:r>
          </w:p>
        </w:tc>
        <w:tc>
          <w:tcPr>
            <w:tcW w:w="34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</w:t>
            </w: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-1%</w:t>
            </w:r>
          </w:p>
        </w:tc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-1%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10.1-15%</w:t>
            </w:r>
          </w:p>
        </w:tc>
        <w:tc>
          <w:tcPr>
            <w:tcW w:w="345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-2%</w:t>
            </w:r>
          </w:p>
        </w:tc>
        <w:tc>
          <w:tcPr>
            <w:tcW w:w="11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-2%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15.1-20%</w:t>
            </w:r>
          </w:p>
        </w:tc>
        <w:tc>
          <w:tcPr>
            <w:tcW w:w="345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-3%</w:t>
            </w: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-3%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宋体" w:hAnsi="宋体"/>
              </w:rPr>
              <w:t>﹥20%</w:t>
            </w:r>
          </w:p>
        </w:tc>
        <w:tc>
          <w:tcPr>
            <w:tcW w:w="57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/>
              </w:rPr>
              <w:t>不作订单收购和最低收购价收购</w:t>
            </w:r>
          </w:p>
        </w:tc>
        <w:tc>
          <w:tcPr>
            <w:tcW w:w="1659" w:type="dxa"/>
            <w:vMerge w:val="continue"/>
          </w:tcPr>
          <w:p>
            <w:pPr>
              <w:spacing w:line="240" w:lineRule="auto"/>
              <w:jc w:val="center"/>
            </w:pPr>
          </w:p>
        </w:tc>
      </w:tr>
    </w:tbl>
    <w:p>
      <w:pPr>
        <w:rPr>
          <w:rFonts w:ascii="宋体" w:hAnsi="宋体"/>
        </w:rPr>
      </w:pPr>
    </w:p>
    <w:p>
      <w:pPr>
        <w:jc w:val="left"/>
        <w:rPr>
          <w:rFonts w:hint="default" w:asciiTheme="minorEastAsia" w:hAnsiTheme="minorEastAsia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粮库粮食收购质量检验单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（参考样式）</w:t>
      </w:r>
    </w:p>
    <w:tbl>
      <w:tblPr>
        <w:tblStyle w:val="8"/>
        <w:tblpPr w:leftFromText="180" w:rightFromText="180" w:vertAnchor="text" w:horzAnchor="page" w:tblpX="2195" w:tblpY="6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704"/>
        <w:gridCol w:w="1605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7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镇（乡）</w:t>
            </w:r>
          </w:p>
        </w:tc>
        <w:tc>
          <w:tcPr>
            <w:tcW w:w="170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280" w:firstLineChars="1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村</w:t>
            </w:r>
          </w:p>
        </w:tc>
        <w:tc>
          <w:tcPr>
            <w:tcW w:w="272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售粮卡号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运输工具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车牌号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品  种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ind w:firstLine="1400" w:firstLineChars="50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预计数量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ind w:firstLine="1260" w:firstLineChars="4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出糙率%</w:t>
            </w:r>
          </w:p>
        </w:tc>
        <w:tc>
          <w:tcPr>
            <w:tcW w:w="1704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整精米率%</w:t>
            </w:r>
          </w:p>
        </w:tc>
        <w:tc>
          <w:tcPr>
            <w:tcW w:w="272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水份%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杂质%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折量□ 折价□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黄粒米%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互混率%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谷外糙米%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色泽气味   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正常□ 不正常□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7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ind w:firstLine="280" w:firstLineChars="1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  价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（元/斤）</w:t>
            </w:r>
          </w:p>
        </w:tc>
        <w:tc>
          <w:tcPr>
            <w:tcW w:w="1704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增扣量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增+.扣-（%）</w:t>
            </w:r>
          </w:p>
        </w:tc>
        <w:tc>
          <w:tcPr>
            <w:tcW w:w="2727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7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验货员</w:t>
            </w:r>
          </w:p>
        </w:tc>
        <w:tc>
          <w:tcPr>
            <w:tcW w:w="1704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验质时间</w:t>
            </w:r>
          </w:p>
        </w:tc>
        <w:tc>
          <w:tcPr>
            <w:tcW w:w="2727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日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时</w:t>
            </w:r>
          </w:p>
        </w:tc>
      </w:tr>
    </w:tbl>
    <w:p>
      <w:pPr>
        <w:ind w:right="560"/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NO.********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="宋体" w:hAnsi="宋体"/>
        </w:rPr>
      </w:pPr>
    </w:p>
    <w:p>
      <w:pPr>
        <w:tabs>
          <w:tab w:val="right" w:pos="8640"/>
        </w:tabs>
        <w:spacing w:line="560" w:lineRule="exact"/>
        <w:ind w:firstLine="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134" w:left="1531" w:header="567" w:footer="624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539750</wp:posOffset>
              </wp:positionV>
              <wp:extent cx="54717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9.2pt;margin-top:42.5pt;height:14.15pt;width:430.85pt;mso-position-horizontal-relative:page;mso-position-vertical-relative:page;z-index:-251640832;mso-width-relative:page;mso-height-relative:page;" filled="f" stroked="f" coordsize="21600,21600" o:gfxdata="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fE6gPWAAAACwEAAA8AAAAAAAAAAQAgAAAAIgAAAGRy&#10;cy9kb3ducmV2LnhtbFBLAQIUABQAAAAIAIdO4kCqyPppzgEAAIQDAAAOAAAAAAAAAAEAIAAAACUB&#10;AABkcnMvZTJvRG9jLnhtbFBLBQYAAAAABgAGAFkBAABlBQAAAAA=&#10;">
              <v:fill on="f" focussize="0,0"/>
              <v:stroke on="f"/>
              <v:imagedata o:title=""/>
              <o:lock v:ext="edit" aspectratio="f"/>
              <v:shadow on="t" color="#A0A0A4" offset="0pt,0pt" origin="0f,0f" matrix="65536f,0f,0f,65536f"/>
              <v:textbox inset="0mm,0mm,0mm,0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pStyle w:val="15"/>
      <w:lvlText w:val="%1、"/>
      <w:lvlJc w:val="left"/>
      <w:pPr>
        <w:tabs>
          <w:tab w:val="left" w:pos="1335"/>
        </w:tabs>
        <w:ind w:left="1335" w:hanging="7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984"/>
        </w:tabs>
        <w:ind w:left="0" w:firstLine="624"/>
      </w:pPr>
      <w:rPr>
        <w:rFonts w:hint="eastAsia" w:ascii="仿宋_GB2312" w:eastAsia="仿宋_GB2312"/>
        <w:b w:val="0"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984"/>
        </w:tabs>
        <w:ind w:left="0" w:firstLine="624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5F468E3"/>
    <w:rsid w:val="05FF50F0"/>
    <w:rsid w:val="06396522"/>
    <w:rsid w:val="06993DBD"/>
    <w:rsid w:val="07267EB8"/>
    <w:rsid w:val="07537F8B"/>
    <w:rsid w:val="086F2493"/>
    <w:rsid w:val="09793344"/>
    <w:rsid w:val="09BA5DF1"/>
    <w:rsid w:val="0A4E5493"/>
    <w:rsid w:val="0B063DA1"/>
    <w:rsid w:val="0C424FBC"/>
    <w:rsid w:val="0D2242C5"/>
    <w:rsid w:val="0F5853D1"/>
    <w:rsid w:val="102F455F"/>
    <w:rsid w:val="104B7207"/>
    <w:rsid w:val="13EC3A7F"/>
    <w:rsid w:val="162D6C4F"/>
    <w:rsid w:val="17501F0B"/>
    <w:rsid w:val="17771872"/>
    <w:rsid w:val="18EC13FD"/>
    <w:rsid w:val="197F74FB"/>
    <w:rsid w:val="1A621B90"/>
    <w:rsid w:val="1A902E7F"/>
    <w:rsid w:val="1BD56505"/>
    <w:rsid w:val="1C3648EC"/>
    <w:rsid w:val="1C6F3B48"/>
    <w:rsid w:val="1D294BFF"/>
    <w:rsid w:val="1D2A2723"/>
    <w:rsid w:val="1EED5CD4"/>
    <w:rsid w:val="1F804843"/>
    <w:rsid w:val="1FE10AC5"/>
    <w:rsid w:val="21095A0C"/>
    <w:rsid w:val="213E6489"/>
    <w:rsid w:val="237D6344"/>
    <w:rsid w:val="24BA7BA5"/>
    <w:rsid w:val="24E903A0"/>
    <w:rsid w:val="25C56306"/>
    <w:rsid w:val="26084231"/>
    <w:rsid w:val="264045A6"/>
    <w:rsid w:val="26A97DF8"/>
    <w:rsid w:val="26E35278"/>
    <w:rsid w:val="27F67418"/>
    <w:rsid w:val="2835437F"/>
    <w:rsid w:val="29230ED4"/>
    <w:rsid w:val="2B194120"/>
    <w:rsid w:val="2B403EAB"/>
    <w:rsid w:val="2DA0096A"/>
    <w:rsid w:val="2EAA6849"/>
    <w:rsid w:val="2F3B6E2A"/>
    <w:rsid w:val="330562B2"/>
    <w:rsid w:val="351A2E13"/>
    <w:rsid w:val="35E31ED1"/>
    <w:rsid w:val="366E1C83"/>
    <w:rsid w:val="37740E03"/>
    <w:rsid w:val="37A33A63"/>
    <w:rsid w:val="37CA5D6E"/>
    <w:rsid w:val="38156002"/>
    <w:rsid w:val="383371CE"/>
    <w:rsid w:val="39D72374"/>
    <w:rsid w:val="3A805D53"/>
    <w:rsid w:val="3B4364A8"/>
    <w:rsid w:val="3C97383B"/>
    <w:rsid w:val="3F2234E3"/>
    <w:rsid w:val="442073A2"/>
    <w:rsid w:val="44344D61"/>
    <w:rsid w:val="44D36F77"/>
    <w:rsid w:val="463F2D29"/>
    <w:rsid w:val="467853A2"/>
    <w:rsid w:val="46CA2826"/>
    <w:rsid w:val="46D140D4"/>
    <w:rsid w:val="46F66861"/>
    <w:rsid w:val="4701499A"/>
    <w:rsid w:val="472357FB"/>
    <w:rsid w:val="47762779"/>
    <w:rsid w:val="497001E3"/>
    <w:rsid w:val="4ADB27C6"/>
    <w:rsid w:val="4B0412F1"/>
    <w:rsid w:val="4BBE11D6"/>
    <w:rsid w:val="4D315130"/>
    <w:rsid w:val="4D4966E6"/>
    <w:rsid w:val="51171800"/>
    <w:rsid w:val="517D37E4"/>
    <w:rsid w:val="5219787A"/>
    <w:rsid w:val="5369386C"/>
    <w:rsid w:val="53F05436"/>
    <w:rsid w:val="547F2FAF"/>
    <w:rsid w:val="54AC4C84"/>
    <w:rsid w:val="56517CE8"/>
    <w:rsid w:val="57FE7D5C"/>
    <w:rsid w:val="58021B0F"/>
    <w:rsid w:val="5A13769E"/>
    <w:rsid w:val="5A7E7FA8"/>
    <w:rsid w:val="5B251A95"/>
    <w:rsid w:val="5C992EAF"/>
    <w:rsid w:val="5D4F4172"/>
    <w:rsid w:val="5D4F551B"/>
    <w:rsid w:val="5D7B0658"/>
    <w:rsid w:val="5DB16D6F"/>
    <w:rsid w:val="5EA22DFC"/>
    <w:rsid w:val="5FF978C1"/>
    <w:rsid w:val="61C5405B"/>
    <w:rsid w:val="64503A6F"/>
    <w:rsid w:val="649D4E24"/>
    <w:rsid w:val="64D3552D"/>
    <w:rsid w:val="65B62F73"/>
    <w:rsid w:val="6618623A"/>
    <w:rsid w:val="66C43252"/>
    <w:rsid w:val="67276921"/>
    <w:rsid w:val="67431387"/>
    <w:rsid w:val="680E28FF"/>
    <w:rsid w:val="68DA2FB8"/>
    <w:rsid w:val="6A43001B"/>
    <w:rsid w:val="6A635C14"/>
    <w:rsid w:val="6ADD1C0F"/>
    <w:rsid w:val="6DCA4C60"/>
    <w:rsid w:val="6F0B072C"/>
    <w:rsid w:val="71D152AC"/>
    <w:rsid w:val="71FB3C09"/>
    <w:rsid w:val="72624EE7"/>
    <w:rsid w:val="731E72AB"/>
    <w:rsid w:val="74BE4702"/>
    <w:rsid w:val="74CC5F92"/>
    <w:rsid w:val="74D515F0"/>
    <w:rsid w:val="75BC1EDC"/>
    <w:rsid w:val="76734FC6"/>
    <w:rsid w:val="76A47511"/>
    <w:rsid w:val="76CF46C0"/>
    <w:rsid w:val="783F2F48"/>
    <w:rsid w:val="78446A71"/>
    <w:rsid w:val="79AD1AD1"/>
    <w:rsid w:val="7A04701D"/>
    <w:rsid w:val="7A6B2C17"/>
    <w:rsid w:val="7A6E45F6"/>
    <w:rsid w:val="7DFA0BBE"/>
    <w:rsid w:val="7F3D5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link w:val="10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  <w:jc w:val="left"/>
    </w:pPr>
    <w:rPr>
      <w:rFonts w:eastAsia="黑体"/>
      <w:sz w:val="32"/>
    </w:r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"/>
    <w:basedOn w:val="1"/>
    <w:link w:val="9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character" w:styleId="11">
    <w:name w:val="Strong"/>
    <w:basedOn w:val="9"/>
    <w:qFormat/>
    <w:uiPriority w:val="99"/>
    <w:rPr>
      <w:rFonts w:cs="Times New Roman"/>
      <w:b/>
      <w:bCs/>
    </w:rPr>
  </w:style>
  <w:style w:type="character" w:styleId="12">
    <w:name w:val="page number"/>
    <w:basedOn w:val="9"/>
    <w:qFormat/>
    <w:uiPriority w:val="0"/>
  </w:style>
  <w:style w:type="character" w:styleId="13">
    <w:name w:val="Emphasis"/>
    <w:basedOn w:val="9"/>
    <w:qFormat/>
    <w:locked/>
    <w:uiPriority w:val="20"/>
    <w:rPr>
      <w:rFonts w:cs="Times New Roman"/>
      <w:i/>
      <w:iCs/>
    </w:rPr>
  </w:style>
  <w:style w:type="character" w:styleId="14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paragraph" w:customStyle="1" w:styleId="15">
    <w:name w:val=" Char"/>
    <w:basedOn w:val="1"/>
    <w:link w:val="9"/>
    <w:qFormat/>
    <w:uiPriority w:val="0"/>
    <w:pPr>
      <w:numPr>
        <w:ilvl w:val="0"/>
        <w:numId w:val="1"/>
      </w:numPr>
    </w:pPr>
  </w:style>
  <w:style w:type="character" w:customStyle="1" w:styleId="16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日期 字符"/>
    <w:basedOn w:val="9"/>
    <w:link w:val="3"/>
    <w:semiHidden/>
    <w:qFormat/>
    <w:uiPriority w:val="99"/>
    <w:rPr>
      <w:kern w:val="2"/>
      <w:sz w:val="21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font21"/>
    <w:basedOn w:val="9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5</TotalTime>
  <ScaleCrop>false</ScaleCrop>
  <LinksUpToDate>false</LinksUpToDate>
  <CharactersWithSpaces>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2019-10-15T07:08:00Z</dcterms:created>
  <dc:creator>王仁博</dc:creator>
  <cp:lastModifiedBy>瓯海编办-朱龙</cp:lastModifiedBy>
  <cp:lastPrinted>2020-05-08T01:38:00Z</cp:lastPrinted>
  <dcterms:modified xsi:type="dcterms:W3CDTF">2020-07-06T08:22:17Z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