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hd w:val="clear" w:color="auto" w:fill="FFFFFF"/>
        <w:kinsoku/>
        <w:wordWrap/>
        <w:overflowPunct/>
        <w:topLinePunct w:val="0"/>
        <w:autoSpaceDE/>
        <w:autoSpaceDN/>
        <w:bidi w:val="0"/>
        <w:adjustRightInd/>
        <w:snapToGrid/>
        <w:spacing w:line="680" w:lineRule="exact"/>
        <w:jc w:val="center"/>
        <w:textAlignment w:val="auto"/>
        <w:outlineLvl w:val="0"/>
        <w:rPr>
          <w:rFonts w:hint="eastAsia" w:ascii="方正小标宋简体" w:hAnsi="方正小标宋简体" w:eastAsia="方正小标宋简体" w:cs="方正小标宋简体"/>
          <w:bCs/>
          <w:color w:val="auto"/>
          <w:kern w:val="0"/>
          <w:sz w:val="44"/>
          <w:szCs w:val="44"/>
          <w:u w:val="none"/>
        </w:rPr>
      </w:pPr>
      <w:bookmarkStart w:id="0" w:name="_GoBack"/>
      <w:bookmarkEnd w:id="0"/>
      <w:r>
        <w:rPr>
          <w:rFonts w:hint="eastAsia" w:ascii="方正小标宋简体" w:hAnsi="方正小标宋简体" w:eastAsia="方正小标宋简体" w:cs="方正小标宋简体"/>
          <w:bCs/>
          <w:color w:val="auto"/>
          <w:kern w:val="0"/>
          <w:sz w:val="44"/>
          <w:szCs w:val="44"/>
          <w:u w:val="none"/>
        </w:rPr>
        <w:t>温州市市级冻猪肉储备实物管理办法</w:t>
      </w:r>
    </w:p>
    <w:p>
      <w:pPr>
        <w:keepNext w:val="0"/>
        <w:keepLines w:val="0"/>
        <w:pageBreakBefore w:val="0"/>
        <w:widowControl/>
        <w:shd w:val="clear" w:color="auto" w:fill="FFFFFF"/>
        <w:kinsoku/>
        <w:wordWrap/>
        <w:overflowPunct/>
        <w:topLinePunct w:val="0"/>
        <w:autoSpaceDE/>
        <w:autoSpaceDN/>
        <w:bidi w:val="0"/>
        <w:adjustRightInd/>
        <w:snapToGrid/>
        <w:spacing w:line="680" w:lineRule="exact"/>
        <w:jc w:val="center"/>
        <w:textAlignment w:val="auto"/>
        <w:outlineLvl w:val="0"/>
        <w:rPr>
          <w:rFonts w:hint="eastAsia" w:ascii="方正小标宋简体" w:hAnsi="方正小标宋简体" w:eastAsia="方正小标宋简体" w:cs="方正小标宋简体"/>
          <w:bCs/>
          <w:color w:val="auto"/>
          <w:kern w:val="0"/>
          <w:sz w:val="44"/>
          <w:szCs w:val="44"/>
          <w:u w:val="none"/>
        </w:rPr>
      </w:pPr>
      <w:r>
        <w:rPr>
          <w:rFonts w:hint="eastAsia" w:ascii="方正小标宋简体" w:hAnsi="方正小标宋简体" w:eastAsia="方正小标宋简体" w:cs="方正小标宋简体"/>
          <w:bCs/>
          <w:color w:val="auto"/>
          <w:kern w:val="0"/>
          <w:sz w:val="44"/>
          <w:szCs w:val="44"/>
          <w:u w:val="none"/>
        </w:rPr>
        <w:t>（暂行）</w:t>
      </w:r>
    </w:p>
    <w:p>
      <w:pPr>
        <w:widowControl/>
        <w:shd w:val="clear" w:color="auto" w:fill="FFFFFF"/>
        <w:adjustRightInd w:val="0"/>
        <w:snapToGrid w:val="0"/>
        <w:spacing w:line="600" w:lineRule="exact"/>
        <w:rPr>
          <w:rFonts w:ascii="黑体" w:hAnsi="黑体" w:eastAsia="黑体"/>
          <w:bCs/>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val="0"/>
        <w:snapToGrid w:val="0"/>
        <w:spacing w:line="540" w:lineRule="exact"/>
        <w:jc w:val="center"/>
        <w:textAlignment w:val="auto"/>
        <w:outlineLvl w:val="0"/>
        <w:rPr>
          <w:rFonts w:ascii="黑体" w:hAnsi="黑体" w:eastAsia="黑体"/>
          <w:bCs/>
          <w:color w:val="auto"/>
          <w:kern w:val="0"/>
          <w:sz w:val="32"/>
          <w:szCs w:val="32"/>
          <w:u w:val="none"/>
        </w:rPr>
      </w:pPr>
      <w:r>
        <w:rPr>
          <w:rFonts w:hint="eastAsia" w:ascii="黑体" w:hAnsi="黑体" w:eastAsia="黑体"/>
          <w:bCs/>
          <w:color w:val="auto"/>
          <w:kern w:val="0"/>
          <w:sz w:val="32"/>
          <w:szCs w:val="32"/>
          <w:u w:val="none"/>
        </w:rPr>
        <w:t>第一章  总  则</w:t>
      </w:r>
    </w:p>
    <w:p>
      <w:pPr>
        <w:keepNext w:val="0"/>
        <w:keepLines w:val="0"/>
        <w:pageBreakBefore w:val="0"/>
        <w:kinsoku/>
        <w:wordWrap/>
        <w:overflowPunct/>
        <w:topLinePunct w:val="0"/>
        <w:autoSpaceDE/>
        <w:autoSpaceDN/>
        <w:bidi w:val="0"/>
        <w:spacing w:line="530" w:lineRule="exact"/>
        <w:ind w:firstLine="640" w:firstLineChars="200"/>
        <w:textAlignment w:val="auto"/>
        <w:rPr>
          <w:rFonts w:ascii="仿宋_GB2312" w:eastAsia="仿宋_GB2312"/>
          <w:color w:val="auto"/>
          <w:kern w:val="0"/>
          <w:sz w:val="32"/>
          <w:szCs w:val="32"/>
          <w:u w:val="none"/>
        </w:rPr>
      </w:pPr>
      <w:r>
        <w:rPr>
          <w:rFonts w:ascii="仿宋_GB2312" w:eastAsia="仿宋_GB2312"/>
          <w:color w:val="auto"/>
          <w:kern w:val="0"/>
          <w:sz w:val="32"/>
          <w:szCs w:val="32"/>
          <w:u w:val="none"/>
        </w:rPr>
        <w:t xml:space="preserve"> </w:t>
      </w:r>
      <w:r>
        <w:rPr>
          <w:rFonts w:ascii="仿宋_GB2312" w:eastAsia="仿宋_GB2312"/>
          <w:b/>
          <w:bCs w:val="0"/>
          <w:color w:val="auto"/>
          <w:kern w:val="0"/>
          <w:sz w:val="32"/>
          <w:szCs w:val="32"/>
          <w:u w:val="none"/>
        </w:rPr>
        <w:t>第一条</w:t>
      </w:r>
      <w:r>
        <w:rPr>
          <w:rFonts w:ascii="仿宋_GB2312" w:eastAsia="仿宋_GB2312"/>
          <w:bCs/>
          <w:color w:val="auto"/>
          <w:kern w:val="0"/>
          <w:sz w:val="32"/>
          <w:szCs w:val="32"/>
          <w:u w:val="none"/>
        </w:rPr>
        <w:t xml:space="preserve"> </w:t>
      </w:r>
      <w:r>
        <w:rPr>
          <w:rFonts w:hint="eastAsia" w:ascii="仿宋_GB2312" w:eastAsia="仿宋_GB2312"/>
          <w:bCs/>
          <w:color w:val="auto"/>
          <w:kern w:val="0"/>
          <w:sz w:val="32"/>
          <w:szCs w:val="32"/>
          <w:u w:val="none"/>
          <w:lang w:val="en-US" w:eastAsia="zh-CN"/>
        </w:rPr>
        <w:t xml:space="preserve"> </w:t>
      </w:r>
      <w:r>
        <w:rPr>
          <w:rFonts w:ascii="仿宋_GB2312" w:eastAsia="仿宋_GB2312"/>
          <w:color w:val="auto"/>
          <w:kern w:val="0"/>
          <w:sz w:val="32"/>
          <w:szCs w:val="32"/>
          <w:u w:val="none"/>
        </w:rPr>
        <w:t>为进一步规范市级</w:t>
      </w:r>
      <w:r>
        <w:rPr>
          <w:rFonts w:hint="eastAsia" w:ascii="仿宋_GB2312" w:eastAsia="仿宋_GB2312"/>
          <w:color w:val="auto"/>
          <w:kern w:val="0"/>
          <w:sz w:val="32"/>
          <w:szCs w:val="32"/>
          <w:u w:val="none"/>
        </w:rPr>
        <w:t>冻</w:t>
      </w:r>
      <w:r>
        <w:rPr>
          <w:rFonts w:ascii="仿宋_GB2312" w:eastAsia="仿宋_GB2312"/>
          <w:color w:val="auto"/>
          <w:kern w:val="0"/>
          <w:sz w:val="32"/>
          <w:szCs w:val="32"/>
          <w:u w:val="none"/>
        </w:rPr>
        <w:t>猪肉储备（以下简称储备肉）管理，确保储得进、管得好、</w:t>
      </w:r>
      <w:r>
        <w:rPr>
          <w:rFonts w:hint="eastAsia" w:ascii="仿宋_GB2312" w:eastAsia="仿宋_GB2312"/>
          <w:color w:val="auto"/>
          <w:kern w:val="0"/>
          <w:sz w:val="32"/>
          <w:szCs w:val="32"/>
          <w:u w:val="none"/>
          <w:lang w:eastAsia="zh-CN"/>
        </w:rPr>
        <w:t>用得上</w:t>
      </w:r>
      <w:r>
        <w:rPr>
          <w:rFonts w:ascii="仿宋_GB2312" w:eastAsia="仿宋_GB2312"/>
          <w:color w:val="auto"/>
          <w:kern w:val="0"/>
          <w:sz w:val="32"/>
          <w:szCs w:val="32"/>
          <w:u w:val="none"/>
        </w:rPr>
        <w:t>，切实发挥应急保供作用，</w:t>
      </w:r>
      <w:r>
        <w:rPr>
          <w:rFonts w:hint="eastAsia" w:ascii="仿宋_GB2312" w:eastAsia="仿宋_GB2312"/>
          <w:color w:val="auto"/>
          <w:kern w:val="0"/>
          <w:sz w:val="32"/>
          <w:szCs w:val="32"/>
          <w:u w:val="none"/>
          <w:lang w:eastAsia="zh-CN"/>
        </w:rPr>
        <w:t>按照</w:t>
      </w:r>
      <w:r>
        <w:rPr>
          <w:rFonts w:hint="eastAsia" w:ascii="仿宋_GB2312" w:eastAsia="仿宋_GB2312"/>
          <w:color w:val="auto"/>
          <w:kern w:val="0"/>
          <w:sz w:val="32"/>
          <w:szCs w:val="32"/>
          <w:u w:val="none"/>
        </w:rPr>
        <w:t>《省政府办公厅关于进一步促进生猪生产保障市场供应的通知》（浙政办〔2019〕44号）</w:t>
      </w:r>
      <w:r>
        <w:rPr>
          <w:rFonts w:hint="eastAsia" w:ascii="仿宋_GB2312" w:eastAsia="仿宋_GB2312"/>
          <w:color w:val="auto"/>
          <w:kern w:val="0"/>
          <w:sz w:val="32"/>
          <w:szCs w:val="32"/>
          <w:u w:val="none"/>
          <w:lang w:eastAsia="zh-CN"/>
        </w:rPr>
        <w:t>、《浙江省发展和改革委员会关于抓紧落实完成冻猪肉储备新增任务的通知》（浙发改秘〔2019〕198号）</w:t>
      </w:r>
      <w:r>
        <w:rPr>
          <w:rFonts w:hint="eastAsia" w:ascii="仿宋_GB2312" w:eastAsia="仿宋_GB2312"/>
          <w:color w:val="auto"/>
          <w:kern w:val="0"/>
          <w:sz w:val="32"/>
          <w:szCs w:val="32"/>
          <w:u w:val="none"/>
        </w:rPr>
        <w:t>、《浙江省</w:t>
      </w:r>
      <w:r>
        <w:rPr>
          <w:rFonts w:hint="eastAsia" w:ascii="仿宋_GB2312" w:eastAsia="仿宋_GB2312"/>
          <w:color w:val="auto"/>
          <w:kern w:val="0"/>
          <w:sz w:val="32"/>
          <w:szCs w:val="32"/>
          <w:u w:val="none"/>
          <w:lang w:eastAsia="zh-CN"/>
        </w:rPr>
        <w:t>粮食和物资储备局</w:t>
      </w:r>
      <w:r>
        <w:rPr>
          <w:rFonts w:hint="eastAsia" w:ascii="仿宋_GB2312" w:eastAsia="仿宋_GB2312"/>
          <w:color w:val="auto"/>
          <w:kern w:val="0"/>
          <w:sz w:val="32"/>
          <w:szCs w:val="32"/>
          <w:u w:val="none"/>
        </w:rPr>
        <w:t>等</w:t>
      </w:r>
      <w:r>
        <w:rPr>
          <w:rFonts w:hint="eastAsia" w:ascii="仿宋_GB2312" w:eastAsia="仿宋_GB2312"/>
          <w:color w:val="auto"/>
          <w:kern w:val="0"/>
          <w:sz w:val="32"/>
          <w:szCs w:val="32"/>
          <w:u w:val="none"/>
          <w:lang w:val="en-US" w:eastAsia="zh-CN"/>
        </w:rPr>
        <w:t>5部门</w:t>
      </w:r>
      <w:r>
        <w:rPr>
          <w:rFonts w:hint="eastAsia" w:ascii="仿宋_GB2312" w:eastAsia="仿宋_GB2312"/>
          <w:color w:val="auto"/>
          <w:kern w:val="0"/>
          <w:sz w:val="32"/>
          <w:szCs w:val="32"/>
          <w:u w:val="none"/>
        </w:rPr>
        <w:t>关于印发浙江省省级重要商品应急储备管理办法的通知》（浙财企〔20</w:t>
      </w:r>
      <w:r>
        <w:rPr>
          <w:rFonts w:hint="eastAsia" w:ascii="仿宋_GB2312" w:eastAsia="仿宋_GB2312"/>
          <w:color w:val="auto"/>
          <w:kern w:val="0"/>
          <w:sz w:val="32"/>
          <w:szCs w:val="32"/>
          <w:u w:val="none"/>
          <w:lang w:val="en-US" w:eastAsia="zh-CN"/>
        </w:rPr>
        <w:t>20</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val="en-US" w:eastAsia="zh-CN"/>
        </w:rPr>
        <w:t>12</w:t>
      </w:r>
      <w:r>
        <w:rPr>
          <w:rFonts w:hint="eastAsia" w:ascii="仿宋_GB2312" w:eastAsia="仿宋_GB2312"/>
          <w:color w:val="auto"/>
          <w:kern w:val="0"/>
          <w:sz w:val="32"/>
          <w:szCs w:val="32"/>
          <w:u w:val="none"/>
        </w:rPr>
        <w:t>号）等文件要求，</w:t>
      </w:r>
      <w:r>
        <w:rPr>
          <w:rFonts w:hint="eastAsia" w:ascii="仿宋_GB2312" w:eastAsia="仿宋_GB2312"/>
          <w:color w:val="auto"/>
          <w:kern w:val="0"/>
          <w:sz w:val="32"/>
          <w:szCs w:val="32"/>
          <w:u w:val="none"/>
          <w:lang w:eastAsia="zh-CN"/>
        </w:rPr>
        <w:t>根据</w:t>
      </w:r>
      <w:r>
        <w:rPr>
          <w:rFonts w:hint="eastAsia" w:ascii="仿宋_GB2312" w:eastAsia="仿宋_GB2312"/>
          <w:color w:val="auto"/>
          <w:kern w:val="0"/>
          <w:sz w:val="32"/>
          <w:szCs w:val="32"/>
          <w:u w:val="none"/>
        </w:rPr>
        <w:t>温州市委“三定方案”职责分工，落实</w:t>
      </w:r>
      <w:r>
        <w:rPr>
          <w:rFonts w:hint="eastAsia" w:ascii="仿宋_GB2312" w:eastAsia="仿宋_GB2312"/>
          <w:color w:val="auto"/>
          <w:kern w:val="0"/>
          <w:sz w:val="32"/>
          <w:szCs w:val="32"/>
          <w:u w:val="none"/>
          <w:lang w:eastAsia="zh-CN"/>
        </w:rPr>
        <w:t>冻猪肉储备任务</w:t>
      </w:r>
      <w:r>
        <w:rPr>
          <w:rFonts w:hint="eastAsia" w:ascii="仿宋_GB2312" w:eastAsia="仿宋_GB2312"/>
          <w:color w:val="auto"/>
          <w:kern w:val="0"/>
          <w:sz w:val="32"/>
          <w:szCs w:val="32"/>
          <w:u w:val="none"/>
        </w:rPr>
        <w:t>。</w:t>
      </w:r>
    </w:p>
    <w:p>
      <w:pPr>
        <w:keepNext w:val="0"/>
        <w:keepLines w:val="0"/>
        <w:pageBreakBefore w:val="0"/>
        <w:kinsoku/>
        <w:wordWrap/>
        <w:overflowPunct/>
        <w:topLinePunct w:val="0"/>
        <w:autoSpaceDE/>
        <w:autoSpaceDN/>
        <w:bidi w:val="0"/>
        <w:spacing w:line="530" w:lineRule="exact"/>
        <w:ind w:firstLine="643" w:firstLineChars="200"/>
        <w:textAlignment w:val="auto"/>
        <w:rPr>
          <w:rFonts w:hint="eastAsia" w:ascii="仿宋_GB2312" w:eastAsia="仿宋_GB2312"/>
          <w:color w:val="auto"/>
          <w:kern w:val="0"/>
          <w:sz w:val="32"/>
          <w:szCs w:val="32"/>
          <w:u w:val="none"/>
          <w:lang w:eastAsia="zh-CN"/>
        </w:rPr>
      </w:pPr>
      <w:r>
        <w:rPr>
          <w:rFonts w:ascii="仿宋_GB2312" w:eastAsia="仿宋_GB2312"/>
          <w:b/>
          <w:bCs w:val="0"/>
          <w:color w:val="auto"/>
          <w:kern w:val="0"/>
          <w:sz w:val="32"/>
          <w:szCs w:val="32"/>
          <w:u w:val="none"/>
        </w:rPr>
        <w:t>第二条</w:t>
      </w:r>
      <w:r>
        <w:rPr>
          <w:rFonts w:ascii="仿宋_GB2312" w:eastAsia="仿宋_GB2312"/>
          <w:bCs/>
          <w:color w:val="auto"/>
          <w:kern w:val="0"/>
          <w:sz w:val="32"/>
          <w:szCs w:val="32"/>
          <w:u w:val="none"/>
        </w:rPr>
        <w:t xml:space="preserve"> </w:t>
      </w:r>
      <w:r>
        <w:rPr>
          <w:rFonts w:hint="eastAsia" w:ascii="仿宋_GB2312" w:eastAsia="仿宋_GB2312"/>
          <w:bCs/>
          <w:color w:val="auto"/>
          <w:kern w:val="0"/>
          <w:sz w:val="32"/>
          <w:szCs w:val="32"/>
          <w:u w:val="none"/>
          <w:lang w:val="en-US" w:eastAsia="zh-CN"/>
        </w:rPr>
        <w:t xml:space="preserve"> </w:t>
      </w:r>
      <w:r>
        <w:rPr>
          <w:rFonts w:hint="eastAsia" w:ascii="仿宋_GB2312" w:eastAsia="仿宋_GB2312"/>
          <w:color w:val="auto"/>
          <w:kern w:val="0"/>
          <w:sz w:val="32"/>
          <w:szCs w:val="32"/>
          <w:u w:val="none"/>
          <w:lang w:eastAsia="zh-CN"/>
        </w:rPr>
        <w:t>冻猪肉储备</w:t>
      </w:r>
      <w:r>
        <w:rPr>
          <w:rFonts w:ascii="仿宋_GB2312" w:eastAsia="仿宋_GB2312"/>
          <w:color w:val="auto"/>
          <w:kern w:val="0"/>
          <w:sz w:val="32"/>
          <w:szCs w:val="32"/>
          <w:u w:val="none"/>
        </w:rPr>
        <w:t>是指市政府为</w:t>
      </w:r>
      <w:r>
        <w:rPr>
          <w:rFonts w:ascii="仿宋_GB2312" w:eastAsia="仿宋_GB2312"/>
          <w:color w:val="auto"/>
          <w:sz w:val="32"/>
          <w:szCs w:val="32"/>
          <w:u w:val="none"/>
        </w:rPr>
        <w:t>应对市区或者各县（市、区）</w:t>
      </w:r>
      <w:r>
        <w:rPr>
          <w:rFonts w:ascii="仿宋_GB2312" w:hAnsi="宋体" w:eastAsia="仿宋_GB2312"/>
          <w:color w:val="auto"/>
          <w:sz w:val="32"/>
          <w:szCs w:val="32"/>
          <w:u w:val="none"/>
        </w:rPr>
        <w:t>自然灾害、重大动物疫情或重大肉品安全事故等突发公共事件所造成的猪肉供应</w:t>
      </w:r>
      <w:r>
        <w:rPr>
          <w:rFonts w:hint="eastAsia" w:ascii="仿宋_GB2312" w:eastAsia="仿宋_GB2312"/>
          <w:color w:val="auto"/>
          <w:kern w:val="0"/>
          <w:sz w:val="32"/>
          <w:szCs w:val="32"/>
          <w:u w:val="none"/>
          <w:lang w:eastAsia="zh-CN"/>
        </w:rPr>
        <w:t>严重短缺、增加重大节假日及重大活动期间的猪肉市场供应和稳定市场猪肉价格等情况，落实市政府下达的冻猪肉最低储备任务，而储备的冻猪肉。</w:t>
      </w:r>
    </w:p>
    <w:p>
      <w:pPr>
        <w:pStyle w:val="19"/>
        <w:keepNext w:val="0"/>
        <w:keepLines w:val="0"/>
        <w:pageBreakBefore w:val="0"/>
        <w:kinsoku/>
        <w:wordWrap/>
        <w:overflowPunct/>
        <w:topLinePunct w:val="0"/>
        <w:autoSpaceDE/>
        <w:autoSpaceDN/>
        <w:bidi w:val="0"/>
        <w:adjustRightInd w:val="0"/>
        <w:snapToGrid w:val="0"/>
        <w:spacing w:line="530" w:lineRule="exact"/>
        <w:ind w:firstLine="600"/>
        <w:textAlignment w:val="auto"/>
        <w:rPr>
          <w:rFonts w:ascii="仿宋_GB2312" w:eastAsia="仿宋_GB2312"/>
          <w:color w:val="auto"/>
          <w:sz w:val="32"/>
          <w:szCs w:val="32"/>
          <w:u w:val="none"/>
        </w:rPr>
      </w:pPr>
      <w:r>
        <w:rPr>
          <w:rFonts w:hint="default" w:ascii="仿宋_GB2312" w:hAnsi="Calibri" w:eastAsia="仿宋_GB2312" w:cs="Times New Roman"/>
          <w:b/>
          <w:bCs w:val="0"/>
          <w:color w:val="auto"/>
          <w:kern w:val="0"/>
          <w:sz w:val="32"/>
          <w:szCs w:val="32"/>
          <w:u w:val="none"/>
          <w:lang w:val="en-US" w:eastAsia="zh-CN" w:bidi="ar-SA"/>
        </w:rPr>
        <w:t>第三条</w:t>
      </w:r>
      <w:r>
        <w:rPr>
          <w:rFonts w:hint="eastAsia" w:ascii="仿宋_GB2312" w:eastAsia="仿宋_GB2312" w:cs="Times New Roman"/>
          <w:b/>
          <w:bCs w:val="0"/>
          <w:color w:val="auto"/>
          <w:kern w:val="0"/>
          <w:sz w:val="32"/>
          <w:szCs w:val="32"/>
          <w:u w:val="none"/>
          <w:lang w:val="en-US" w:eastAsia="zh-CN" w:bidi="ar-SA"/>
        </w:rPr>
        <w:t xml:space="preserve"> </w:t>
      </w:r>
      <w:r>
        <w:rPr>
          <w:rFonts w:ascii="仿宋_GB2312" w:eastAsia="仿宋_GB2312"/>
          <w:color w:val="auto"/>
          <w:kern w:val="0"/>
          <w:sz w:val="32"/>
          <w:szCs w:val="32"/>
          <w:u w:val="none"/>
        </w:rPr>
        <w:t xml:space="preserve"> </w:t>
      </w:r>
      <w:r>
        <w:rPr>
          <w:rFonts w:hint="eastAsia" w:ascii="仿宋_GB2312" w:eastAsia="仿宋_GB2312"/>
          <w:color w:val="auto"/>
          <w:kern w:val="0"/>
          <w:sz w:val="32"/>
          <w:szCs w:val="32"/>
          <w:u w:val="none"/>
          <w:lang w:eastAsia="zh-CN"/>
        </w:rPr>
        <w:t>冻猪肉</w:t>
      </w:r>
      <w:r>
        <w:rPr>
          <w:rFonts w:ascii="仿宋_GB2312" w:eastAsia="仿宋_GB2312"/>
          <w:color w:val="auto"/>
          <w:kern w:val="0"/>
          <w:sz w:val="32"/>
          <w:szCs w:val="32"/>
          <w:u w:val="none"/>
        </w:rPr>
        <w:t>储备实行企业储备、市场运作、自负盈亏、政府补贴、服从调度、保障应急的管理机制。</w:t>
      </w:r>
      <w:r>
        <w:rPr>
          <w:rFonts w:ascii="仿宋_GB2312" w:eastAsia="仿宋_GB2312"/>
          <w:color w:val="auto"/>
          <w:sz w:val="32"/>
          <w:szCs w:val="32"/>
          <w:u w:val="none"/>
        </w:rPr>
        <w:t>储备肉轮换实行常年储备、动态轮换。</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hint="eastAsia" w:ascii="黑体" w:hAnsi="黑体" w:eastAsia="黑体"/>
          <w:bCs/>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ascii="仿宋_GB2312" w:eastAsia="仿宋_GB2312"/>
          <w:color w:val="auto"/>
          <w:kern w:val="0"/>
          <w:sz w:val="32"/>
          <w:szCs w:val="32"/>
          <w:u w:val="none"/>
        </w:rPr>
      </w:pPr>
      <w:r>
        <w:rPr>
          <w:rFonts w:hint="eastAsia" w:ascii="黑体" w:hAnsi="黑体" w:eastAsia="黑体"/>
          <w:bCs/>
          <w:color w:val="auto"/>
          <w:kern w:val="0"/>
          <w:sz w:val="32"/>
          <w:szCs w:val="32"/>
          <w:u w:val="none"/>
        </w:rPr>
        <w:t>第二章  职责分工</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 xml:space="preserve">    </w:t>
      </w:r>
      <w:r>
        <w:rPr>
          <w:rFonts w:hint="eastAsia" w:ascii="仿宋_GB2312" w:eastAsia="仿宋_GB2312"/>
          <w:b/>
          <w:bCs w:val="0"/>
          <w:color w:val="auto"/>
          <w:kern w:val="0"/>
          <w:sz w:val="32"/>
          <w:szCs w:val="32"/>
          <w:u w:val="none"/>
        </w:rPr>
        <w:t>第四条</w:t>
      </w:r>
      <w:r>
        <w:rPr>
          <w:rFonts w:hint="eastAsia" w:ascii="仿宋_GB2312" w:eastAsia="仿宋_GB2312"/>
          <w:color w:val="auto"/>
          <w:kern w:val="0"/>
          <w:sz w:val="32"/>
          <w:szCs w:val="32"/>
          <w:u w:val="none"/>
        </w:rPr>
        <w:t xml:space="preserve"> </w:t>
      </w:r>
      <w:r>
        <w:rPr>
          <w:rFonts w:hint="eastAsia" w:ascii="仿宋_GB2312" w:eastAsia="仿宋_GB2312"/>
          <w:color w:val="auto"/>
          <w:kern w:val="0"/>
          <w:sz w:val="32"/>
          <w:szCs w:val="32"/>
          <w:u w:val="none"/>
          <w:lang w:val="en-US" w:eastAsia="zh-CN"/>
        </w:rPr>
        <w:t xml:space="preserve"> </w:t>
      </w:r>
      <w:r>
        <w:rPr>
          <w:rFonts w:hint="eastAsia" w:ascii="仿宋_GB2312" w:eastAsia="仿宋_GB2312"/>
          <w:color w:val="auto"/>
          <w:kern w:val="0"/>
          <w:sz w:val="32"/>
          <w:szCs w:val="32"/>
          <w:u w:val="none"/>
        </w:rPr>
        <w:t>市粮食和物资储备局（以下简称主管单位）负责储备肉的收储、轮换、应急投放等行政管理，组织对</w:t>
      </w:r>
      <w:r>
        <w:rPr>
          <w:rFonts w:hint="eastAsia" w:ascii="仿宋_GB2312" w:eastAsia="仿宋_GB2312"/>
          <w:color w:val="auto"/>
          <w:kern w:val="0"/>
          <w:sz w:val="32"/>
          <w:szCs w:val="32"/>
          <w:u w:val="none"/>
          <w:lang w:eastAsia="zh-CN"/>
        </w:rPr>
        <w:t>全市</w:t>
      </w:r>
      <w:r>
        <w:rPr>
          <w:rFonts w:hint="eastAsia" w:ascii="仿宋_GB2312" w:eastAsia="仿宋_GB2312"/>
          <w:color w:val="auto"/>
          <w:kern w:val="0"/>
          <w:sz w:val="32"/>
          <w:szCs w:val="32"/>
          <w:u w:val="none"/>
        </w:rPr>
        <w:t>储备肉</w:t>
      </w:r>
      <w:r>
        <w:rPr>
          <w:rFonts w:hint="eastAsia" w:ascii="仿宋_GB2312" w:eastAsia="仿宋_GB2312"/>
          <w:color w:val="auto"/>
          <w:sz w:val="32"/>
          <w:szCs w:val="32"/>
          <w:u w:val="none"/>
        </w:rPr>
        <w:t>检查和考核；做好储备肉数量、质量和储存安全的监管工作</w:t>
      </w:r>
      <w:r>
        <w:rPr>
          <w:rFonts w:hint="eastAsia" w:ascii="仿宋_GB2312" w:eastAsia="仿宋_GB2312"/>
          <w:color w:val="auto"/>
          <w:kern w:val="0"/>
          <w:sz w:val="32"/>
          <w:szCs w:val="32"/>
          <w:u w:val="none"/>
        </w:rPr>
        <w:t>；会同市财政局和市粮食和物资储备管理中心（以下简称储管中心）等单位审</w:t>
      </w:r>
      <w:r>
        <w:rPr>
          <w:rFonts w:hint="eastAsia" w:ascii="仿宋_GB2312" w:eastAsia="仿宋_GB2312"/>
          <w:color w:val="auto"/>
          <w:kern w:val="0"/>
          <w:sz w:val="32"/>
          <w:szCs w:val="32"/>
          <w:u w:val="none"/>
          <w:lang w:eastAsia="zh-CN"/>
        </w:rPr>
        <w:t>议</w:t>
      </w:r>
      <w:r>
        <w:rPr>
          <w:rFonts w:hint="eastAsia" w:ascii="仿宋_GB2312" w:eastAsia="仿宋_GB2312"/>
          <w:color w:val="auto"/>
          <w:kern w:val="0"/>
          <w:sz w:val="32"/>
          <w:szCs w:val="32"/>
          <w:u w:val="none"/>
        </w:rPr>
        <w:t>储备肉补贴费用。</w:t>
      </w:r>
    </w:p>
    <w:p>
      <w:pPr>
        <w:keepNext w:val="0"/>
        <w:keepLines w:val="0"/>
        <w:pageBreakBefore w:val="0"/>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color w:val="auto"/>
          <w:sz w:val="32"/>
          <w:szCs w:val="32"/>
          <w:u w:val="none"/>
        </w:rPr>
      </w:pPr>
      <w:r>
        <w:rPr>
          <w:rFonts w:hint="eastAsia" w:ascii="仿宋_GB2312" w:eastAsia="仿宋_GB2312"/>
          <w:b/>
          <w:bCs w:val="0"/>
          <w:color w:val="auto"/>
          <w:kern w:val="0"/>
          <w:sz w:val="32"/>
          <w:szCs w:val="32"/>
          <w:u w:val="none"/>
        </w:rPr>
        <w:t>第五条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bCs/>
          <w:color w:val="auto"/>
          <w:kern w:val="0"/>
          <w:sz w:val="32"/>
          <w:szCs w:val="32"/>
          <w:u w:val="none"/>
        </w:rPr>
        <w:t xml:space="preserve"> </w:t>
      </w:r>
      <w:r>
        <w:rPr>
          <w:rFonts w:hint="eastAsia" w:ascii="仿宋_GB2312" w:eastAsia="仿宋_GB2312"/>
          <w:color w:val="auto"/>
          <w:kern w:val="0"/>
          <w:sz w:val="32"/>
          <w:szCs w:val="32"/>
          <w:u w:val="none"/>
        </w:rPr>
        <w:t>储管中心</w:t>
      </w:r>
      <w:r>
        <w:rPr>
          <w:rFonts w:hint="eastAsia" w:ascii="仿宋_GB2312" w:eastAsia="仿宋_GB2312"/>
          <w:color w:val="auto"/>
          <w:sz w:val="32"/>
          <w:szCs w:val="32"/>
          <w:u w:val="none"/>
        </w:rPr>
        <w:t>负责市级储备</w:t>
      </w:r>
      <w:r>
        <w:rPr>
          <w:rFonts w:hint="eastAsia" w:ascii="仿宋_GB2312" w:eastAsia="仿宋_GB2312"/>
          <w:color w:val="auto"/>
          <w:sz w:val="32"/>
          <w:szCs w:val="32"/>
          <w:u w:val="none"/>
          <w:lang w:eastAsia="zh-CN"/>
        </w:rPr>
        <w:t>肉</w:t>
      </w:r>
      <w:r>
        <w:rPr>
          <w:rFonts w:hint="eastAsia" w:ascii="仿宋_GB2312" w:eastAsia="仿宋_GB2312"/>
          <w:color w:val="auto"/>
          <w:sz w:val="32"/>
          <w:szCs w:val="32"/>
          <w:u w:val="none"/>
        </w:rPr>
        <w:t>的日常实物管理和</w:t>
      </w:r>
      <w:r>
        <w:rPr>
          <w:rFonts w:hint="eastAsia" w:ascii="仿宋_GB2312" w:eastAsia="仿宋_GB2312"/>
          <w:color w:val="auto"/>
          <w:kern w:val="0"/>
          <w:sz w:val="32"/>
          <w:szCs w:val="32"/>
          <w:u w:val="none"/>
        </w:rPr>
        <w:t>具体实施。按照储备任务，制订招投标方案并组织实施，负责与</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签订相关协议；</w:t>
      </w:r>
      <w:r>
        <w:rPr>
          <w:rFonts w:hint="eastAsia" w:ascii="仿宋_GB2312" w:eastAsia="仿宋_GB2312"/>
          <w:color w:val="auto"/>
          <w:sz w:val="32"/>
          <w:szCs w:val="32"/>
          <w:u w:val="none"/>
        </w:rPr>
        <w:t>包括根据主管单位指令组织实施市级储备肉收储、轮换及</w:t>
      </w:r>
      <w:r>
        <w:rPr>
          <w:rFonts w:hint="eastAsia" w:ascii="仿宋_GB2312" w:eastAsia="仿宋_GB2312"/>
          <w:color w:val="auto"/>
          <w:sz w:val="32"/>
          <w:szCs w:val="32"/>
          <w:u w:val="none"/>
          <w:lang w:eastAsia="zh-CN"/>
        </w:rPr>
        <w:t>投放等具体</w:t>
      </w:r>
      <w:r>
        <w:rPr>
          <w:rFonts w:hint="eastAsia" w:ascii="仿宋_GB2312" w:eastAsia="仿宋_GB2312"/>
          <w:color w:val="auto"/>
          <w:sz w:val="32"/>
          <w:szCs w:val="32"/>
          <w:u w:val="none"/>
        </w:rPr>
        <w:t>工作；与</w:t>
      </w:r>
      <w:r>
        <w:rPr>
          <w:rFonts w:hint="eastAsia" w:ascii="仿宋_GB2312" w:eastAsia="仿宋_GB2312"/>
          <w:color w:val="auto"/>
          <w:sz w:val="32"/>
          <w:szCs w:val="32"/>
          <w:u w:val="none"/>
          <w:lang w:eastAsia="zh-CN"/>
        </w:rPr>
        <w:t>承储企业</w:t>
      </w:r>
      <w:r>
        <w:rPr>
          <w:rFonts w:hint="eastAsia" w:ascii="仿宋_GB2312" w:eastAsia="仿宋_GB2312"/>
          <w:color w:val="auto"/>
          <w:sz w:val="32"/>
          <w:szCs w:val="32"/>
          <w:u w:val="none"/>
        </w:rPr>
        <w:t>签订调销合同；及时上报</w:t>
      </w:r>
      <w:r>
        <w:rPr>
          <w:rFonts w:hint="eastAsia" w:ascii="仿宋_GB2312" w:eastAsia="仿宋_GB2312"/>
          <w:color w:val="auto"/>
          <w:sz w:val="32"/>
          <w:szCs w:val="32"/>
          <w:u w:val="none"/>
          <w:lang w:eastAsia="zh-CN"/>
        </w:rPr>
        <w:t>储备肉</w:t>
      </w:r>
      <w:r>
        <w:rPr>
          <w:rFonts w:hint="eastAsia" w:ascii="仿宋_GB2312" w:eastAsia="仿宋_GB2312"/>
          <w:color w:val="auto"/>
          <w:sz w:val="32"/>
          <w:szCs w:val="32"/>
          <w:u w:val="none"/>
        </w:rPr>
        <w:t>相应统计报表和业务报告；提出市级储备肉年度财政预算和投放后费用结算，协助</w:t>
      </w:r>
      <w:r>
        <w:rPr>
          <w:rFonts w:hint="eastAsia" w:ascii="仿宋_GB2312" w:eastAsia="仿宋_GB2312"/>
          <w:color w:val="auto"/>
          <w:sz w:val="32"/>
          <w:szCs w:val="32"/>
          <w:u w:val="none"/>
          <w:lang w:eastAsia="zh-CN"/>
        </w:rPr>
        <w:t>承储企业</w:t>
      </w:r>
      <w:r>
        <w:rPr>
          <w:rFonts w:hint="eastAsia" w:ascii="仿宋_GB2312" w:eastAsia="仿宋_GB2312"/>
          <w:color w:val="auto"/>
          <w:sz w:val="32"/>
          <w:szCs w:val="32"/>
          <w:u w:val="none"/>
        </w:rPr>
        <w:t>向需求单位进行投放结算。</w:t>
      </w:r>
    </w:p>
    <w:p>
      <w:pPr>
        <w:keepNext w:val="0"/>
        <w:keepLines w:val="0"/>
        <w:pageBreakBefore w:val="0"/>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color w:val="auto"/>
          <w:sz w:val="32"/>
          <w:szCs w:val="32"/>
          <w:u w:val="none"/>
        </w:rPr>
      </w:pPr>
      <w:r>
        <w:rPr>
          <w:rFonts w:hint="eastAsia" w:ascii="仿宋_GB2312" w:eastAsia="仿宋_GB2312"/>
          <w:b/>
          <w:bCs w:val="0"/>
          <w:color w:val="auto"/>
          <w:kern w:val="0"/>
          <w:sz w:val="32"/>
          <w:szCs w:val="32"/>
          <w:u w:val="none"/>
        </w:rPr>
        <w:t>第六条</w:t>
      </w:r>
      <w:r>
        <w:rPr>
          <w:rFonts w:hint="eastAsia" w:ascii="仿宋_GB2312" w:eastAsia="仿宋_GB2312"/>
          <w:color w:val="auto"/>
          <w:sz w:val="32"/>
          <w:szCs w:val="32"/>
          <w:u w:val="none"/>
        </w:rPr>
        <w:t xml:space="preserve"> </w:t>
      </w:r>
      <w:r>
        <w:rPr>
          <w:rFonts w:hint="eastAsia" w:ascii="仿宋_GB2312" w:eastAsia="仿宋_GB2312"/>
          <w:color w:val="auto"/>
          <w:sz w:val="32"/>
          <w:szCs w:val="32"/>
          <w:u w:val="none"/>
          <w:lang w:val="en-US" w:eastAsia="zh-CN"/>
        </w:rPr>
        <w:t xml:space="preserve"> </w:t>
      </w:r>
      <w:r>
        <w:rPr>
          <w:rFonts w:hint="eastAsia" w:ascii="仿宋_GB2312" w:eastAsia="仿宋_GB2312"/>
          <w:color w:val="auto"/>
          <w:sz w:val="32"/>
          <w:szCs w:val="32"/>
          <w:u w:val="none"/>
          <w:lang w:eastAsia="zh-CN"/>
        </w:rPr>
        <w:t>承储企业</w:t>
      </w:r>
      <w:r>
        <w:rPr>
          <w:rFonts w:hint="eastAsia" w:ascii="仿宋_GB2312" w:eastAsia="仿宋_GB2312"/>
          <w:color w:val="auto"/>
          <w:sz w:val="32"/>
          <w:szCs w:val="32"/>
          <w:u w:val="none"/>
        </w:rPr>
        <w:t>根据储管中心下达的储备计划和承储协议规定，承担市级储备肉的收储、轮换、日常管理和</w:t>
      </w:r>
      <w:r>
        <w:rPr>
          <w:rFonts w:hint="eastAsia" w:ascii="仿宋_GB2312" w:eastAsia="仿宋_GB2312"/>
          <w:color w:val="auto"/>
          <w:sz w:val="32"/>
          <w:szCs w:val="32"/>
          <w:u w:val="none"/>
          <w:lang w:eastAsia="zh-CN"/>
        </w:rPr>
        <w:t>投放</w:t>
      </w:r>
      <w:r>
        <w:rPr>
          <w:rFonts w:hint="eastAsia" w:ascii="仿宋_GB2312" w:eastAsia="仿宋_GB2312"/>
          <w:color w:val="auto"/>
          <w:sz w:val="32"/>
          <w:szCs w:val="32"/>
          <w:u w:val="none"/>
        </w:rPr>
        <w:t>出库，及时报送市级储备</w:t>
      </w:r>
      <w:r>
        <w:rPr>
          <w:rFonts w:hint="eastAsia" w:ascii="仿宋_GB2312" w:eastAsia="仿宋_GB2312"/>
          <w:color w:val="auto"/>
          <w:sz w:val="32"/>
          <w:szCs w:val="32"/>
          <w:u w:val="none"/>
          <w:lang w:eastAsia="zh-CN"/>
        </w:rPr>
        <w:t>肉</w:t>
      </w:r>
      <w:r>
        <w:rPr>
          <w:rFonts w:hint="eastAsia" w:ascii="仿宋_GB2312" w:eastAsia="仿宋_GB2312"/>
          <w:color w:val="auto"/>
          <w:sz w:val="32"/>
          <w:szCs w:val="32"/>
          <w:u w:val="none"/>
        </w:rPr>
        <w:t>统计报表和业务报告，对储备肉品种、数量、质量和储存安全负责；按</w:t>
      </w:r>
      <w:r>
        <w:rPr>
          <w:rFonts w:hint="eastAsia" w:ascii="仿宋_GB2312" w:eastAsia="仿宋_GB2312"/>
          <w:color w:val="auto"/>
          <w:sz w:val="32"/>
          <w:szCs w:val="32"/>
          <w:u w:val="none"/>
          <w:lang w:eastAsia="zh-CN"/>
        </w:rPr>
        <w:t>投放</w:t>
      </w:r>
      <w:r>
        <w:rPr>
          <w:rFonts w:hint="eastAsia" w:ascii="仿宋_GB2312" w:eastAsia="仿宋_GB2312"/>
          <w:color w:val="auto"/>
          <w:sz w:val="32"/>
          <w:szCs w:val="32"/>
          <w:u w:val="none"/>
        </w:rPr>
        <w:t>指令和规定程序及时组织储备</w:t>
      </w:r>
      <w:r>
        <w:rPr>
          <w:rFonts w:hint="eastAsia" w:ascii="仿宋_GB2312" w:eastAsia="仿宋_GB2312"/>
          <w:color w:val="auto"/>
          <w:sz w:val="32"/>
          <w:szCs w:val="32"/>
          <w:u w:val="none"/>
          <w:lang w:eastAsia="zh-CN"/>
        </w:rPr>
        <w:t>肉</w:t>
      </w:r>
      <w:r>
        <w:rPr>
          <w:rFonts w:hint="eastAsia" w:ascii="仿宋_GB2312" w:eastAsia="仿宋_GB2312"/>
          <w:color w:val="auto"/>
          <w:sz w:val="32"/>
          <w:szCs w:val="32"/>
          <w:u w:val="none"/>
        </w:rPr>
        <w:t>出库，接受主管单位、储管中心及其委托的第三方监管机构的监督。</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hint="eastAsia" w:ascii="黑体" w:hAnsi="黑体" w:eastAsia="黑体"/>
          <w:bCs/>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ascii="黑体" w:hAnsi="黑体" w:eastAsia="黑体"/>
          <w:bCs/>
          <w:color w:val="auto"/>
          <w:kern w:val="0"/>
          <w:sz w:val="32"/>
          <w:szCs w:val="32"/>
          <w:u w:val="none"/>
        </w:rPr>
      </w:pPr>
      <w:r>
        <w:rPr>
          <w:rFonts w:hint="eastAsia" w:ascii="黑体" w:hAnsi="黑体" w:eastAsia="黑体"/>
          <w:bCs/>
          <w:color w:val="auto"/>
          <w:kern w:val="0"/>
          <w:sz w:val="32"/>
          <w:szCs w:val="32"/>
          <w:u w:val="none"/>
        </w:rPr>
        <w:t>第三章  资质管理</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bCs/>
          <w:color w:val="auto"/>
          <w:kern w:val="0"/>
          <w:sz w:val="32"/>
          <w:szCs w:val="32"/>
          <w:u w:val="none"/>
        </w:rPr>
      </w:pPr>
      <w:r>
        <w:rPr>
          <w:rFonts w:hint="eastAsia" w:ascii="仿宋_GB2312" w:eastAsia="仿宋_GB2312"/>
          <w:b/>
          <w:bCs w:val="0"/>
          <w:color w:val="auto"/>
          <w:kern w:val="0"/>
          <w:sz w:val="32"/>
          <w:szCs w:val="32"/>
          <w:u w:val="none"/>
        </w:rPr>
        <w:t>第七条</w:t>
      </w:r>
      <w:r>
        <w:rPr>
          <w:rFonts w:hint="eastAsia" w:ascii="仿宋_GB2312" w:eastAsia="仿宋_GB2312"/>
          <w:bCs/>
          <w:color w:val="auto"/>
          <w:kern w:val="0"/>
          <w:sz w:val="32"/>
          <w:szCs w:val="32"/>
          <w:u w:val="none"/>
        </w:rPr>
        <w:t xml:space="preserve"> </w:t>
      </w:r>
      <w:r>
        <w:rPr>
          <w:rFonts w:hint="eastAsia" w:ascii="仿宋_GB2312" w:eastAsia="仿宋_GB2312"/>
          <w:bCs/>
          <w:color w:val="auto"/>
          <w:kern w:val="0"/>
          <w:sz w:val="32"/>
          <w:szCs w:val="32"/>
          <w:u w:val="none"/>
          <w:lang w:val="en-US" w:eastAsia="zh-CN"/>
        </w:rPr>
        <w:t xml:space="preserve"> </w:t>
      </w:r>
      <w:r>
        <w:rPr>
          <w:rFonts w:hint="eastAsia" w:ascii="仿宋_GB2312" w:eastAsia="仿宋_GB2312"/>
          <w:bCs/>
          <w:color w:val="auto"/>
          <w:kern w:val="0"/>
          <w:sz w:val="32"/>
          <w:szCs w:val="32"/>
          <w:u w:val="none"/>
        </w:rPr>
        <w:t>根据政府采购办法</w:t>
      </w:r>
      <w:r>
        <w:rPr>
          <w:rFonts w:hint="eastAsia" w:ascii="仿宋_GB2312" w:eastAsia="仿宋_GB2312"/>
          <w:bCs/>
          <w:color w:val="auto"/>
          <w:kern w:val="0"/>
          <w:sz w:val="32"/>
          <w:szCs w:val="32"/>
          <w:u w:val="none"/>
          <w:lang w:eastAsia="zh-CN"/>
        </w:rPr>
        <w:t>，承储企业</w:t>
      </w:r>
      <w:r>
        <w:rPr>
          <w:rFonts w:hint="eastAsia" w:ascii="仿宋_GB2312" w:eastAsia="仿宋_GB2312"/>
          <w:bCs/>
          <w:color w:val="auto"/>
          <w:kern w:val="0"/>
          <w:sz w:val="32"/>
          <w:szCs w:val="32"/>
          <w:u w:val="none"/>
        </w:rPr>
        <w:t>通过公开招标</w:t>
      </w:r>
      <w:r>
        <w:rPr>
          <w:rFonts w:hint="eastAsia" w:ascii="仿宋_GB2312" w:eastAsia="仿宋_GB2312"/>
          <w:bCs/>
          <w:color w:val="auto"/>
          <w:kern w:val="0"/>
          <w:sz w:val="32"/>
          <w:szCs w:val="32"/>
          <w:u w:val="none"/>
          <w:lang w:eastAsia="zh-CN"/>
        </w:rPr>
        <w:t>的</w:t>
      </w:r>
      <w:r>
        <w:rPr>
          <w:rFonts w:hint="eastAsia" w:ascii="仿宋_GB2312" w:eastAsia="仿宋_GB2312"/>
          <w:bCs/>
          <w:color w:val="auto"/>
          <w:kern w:val="0"/>
          <w:sz w:val="32"/>
          <w:szCs w:val="32"/>
          <w:u w:val="none"/>
        </w:rPr>
        <w:t>方式确定</w:t>
      </w:r>
      <w:r>
        <w:rPr>
          <w:rFonts w:hint="eastAsia" w:ascii="仿宋_GB2312" w:eastAsia="仿宋_GB2312"/>
          <w:bCs/>
          <w:color w:val="auto"/>
          <w:kern w:val="0"/>
          <w:sz w:val="32"/>
          <w:szCs w:val="32"/>
          <w:u w:val="none"/>
          <w:lang w:eastAsia="zh-CN"/>
        </w:rPr>
        <w:t>，</w:t>
      </w:r>
      <w:r>
        <w:rPr>
          <w:rFonts w:hint="eastAsia" w:ascii="仿宋_GB2312" w:eastAsia="仿宋_GB2312"/>
          <w:bCs/>
          <w:color w:val="auto"/>
          <w:kern w:val="0"/>
          <w:sz w:val="32"/>
          <w:szCs w:val="32"/>
          <w:u w:val="none"/>
        </w:rPr>
        <w:t>并建立</w:t>
      </w:r>
      <w:r>
        <w:rPr>
          <w:rFonts w:hint="eastAsia" w:ascii="仿宋_GB2312" w:eastAsia="仿宋_GB2312"/>
          <w:bCs/>
          <w:color w:val="auto"/>
          <w:kern w:val="0"/>
          <w:sz w:val="32"/>
          <w:szCs w:val="32"/>
          <w:u w:val="none"/>
          <w:lang w:eastAsia="zh-CN"/>
        </w:rPr>
        <w:t>承储企业</w:t>
      </w:r>
      <w:r>
        <w:rPr>
          <w:rFonts w:hint="eastAsia" w:ascii="仿宋_GB2312" w:eastAsia="仿宋_GB2312"/>
          <w:bCs/>
          <w:color w:val="auto"/>
          <w:kern w:val="0"/>
          <w:sz w:val="32"/>
          <w:szCs w:val="32"/>
          <w:u w:val="none"/>
        </w:rPr>
        <w:t>后备库制度</w:t>
      </w:r>
      <w:r>
        <w:rPr>
          <w:rFonts w:hint="eastAsia" w:ascii="仿宋_GB2312" w:eastAsia="仿宋_GB2312"/>
          <w:bCs/>
          <w:color w:val="auto"/>
          <w:kern w:val="0"/>
          <w:sz w:val="32"/>
          <w:szCs w:val="32"/>
          <w:u w:val="none"/>
          <w:lang w:eastAsia="zh-CN"/>
        </w:rPr>
        <w:t>。</w:t>
      </w:r>
      <w:r>
        <w:rPr>
          <w:rFonts w:hint="eastAsia" w:ascii="仿宋_GB2312" w:eastAsia="仿宋_GB2312"/>
          <w:bCs/>
          <w:color w:val="auto"/>
          <w:kern w:val="0"/>
          <w:sz w:val="32"/>
          <w:szCs w:val="32"/>
          <w:u w:val="none"/>
        </w:rPr>
        <w:t>根据招投标结果，</w:t>
      </w:r>
      <w:r>
        <w:rPr>
          <w:rFonts w:hint="eastAsia" w:ascii="仿宋_GB2312" w:eastAsia="仿宋_GB2312"/>
          <w:bCs/>
          <w:color w:val="auto"/>
          <w:kern w:val="0"/>
          <w:sz w:val="32"/>
          <w:szCs w:val="32"/>
          <w:u w:val="none"/>
          <w:lang w:eastAsia="zh-CN"/>
        </w:rPr>
        <w:t>将</w:t>
      </w:r>
      <w:r>
        <w:rPr>
          <w:rFonts w:hint="eastAsia" w:ascii="仿宋_GB2312" w:eastAsia="仿宋_GB2312"/>
          <w:bCs/>
          <w:color w:val="auto"/>
          <w:kern w:val="0"/>
          <w:sz w:val="32"/>
          <w:szCs w:val="32"/>
          <w:u w:val="none"/>
        </w:rPr>
        <w:t>未承担储备任务的企业依据招标排名列为后备库企业，接替不能继续承储的企业承担储备任务，确保同一招标周期内不重复招标。</w:t>
      </w:r>
    </w:p>
    <w:p>
      <w:pPr>
        <w:keepNext w:val="0"/>
        <w:keepLines w:val="0"/>
        <w:pageBreakBefore w:val="0"/>
        <w:kinsoku/>
        <w:wordWrap/>
        <w:overflowPunct/>
        <w:topLinePunct w:val="0"/>
        <w:autoSpaceDE/>
        <w:autoSpaceDN/>
        <w:bidi w:val="0"/>
        <w:adjustRightInd w:val="0"/>
        <w:snapToGrid w:val="0"/>
        <w:spacing w:line="530" w:lineRule="exact"/>
        <w:ind w:firstLine="600"/>
        <w:textAlignment w:val="auto"/>
        <w:rPr>
          <w:rFonts w:ascii="仿宋_GB2312" w:eastAsia="仿宋_GB2312"/>
          <w:bCs/>
          <w:color w:val="auto"/>
          <w:kern w:val="0"/>
          <w:sz w:val="32"/>
          <w:szCs w:val="32"/>
          <w:u w:val="none"/>
        </w:rPr>
      </w:pPr>
      <w:r>
        <w:rPr>
          <w:rFonts w:hint="eastAsia" w:ascii="仿宋_GB2312" w:eastAsia="仿宋_GB2312"/>
          <w:b/>
          <w:bCs w:val="0"/>
          <w:color w:val="auto"/>
          <w:kern w:val="0"/>
          <w:sz w:val="32"/>
          <w:szCs w:val="32"/>
          <w:u w:val="none"/>
        </w:rPr>
        <w:t>第八条</w:t>
      </w:r>
      <w:r>
        <w:rPr>
          <w:rFonts w:hint="eastAsia" w:ascii="仿宋_GB2312" w:eastAsia="仿宋_GB2312"/>
          <w:bCs/>
          <w:color w:val="auto"/>
          <w:kern w:val="0"/>
          <w:sz w:val="32"/>
          <w:szCs w:val="32"/>
          <w:u w:val="none"/>
        </w:rPr>
        <w:t xml:space="preserve"> </w:t>
      </w:r>
      <w:r>
        <w:rPr>
          <w:rFonts w:hint="eastAsia" w:ascii="仿宋_GB2312" w:eastAsia="仿宋_GB2312"/>
          <w:bCs/>
          <w:color w:val="auto"/>
          <w:kern w:val="0"/>
          <w:sz w:val="32"/>
          <w:szCs w:val="32"/>
          <w:u w:val="none"/>
          <w:lang w:val="en-US" w:eastAsia="zh-CN"/>
        </w:rPr>
        <w:t xml:space="preserve"> </w:t>
      </w:r>
      <w:r>
        <w:rPr>
          <w:rFonts w:hint="eastAsia" w:ascii="仿宋_GB2312" w:eastAsia="仿宋_GB2312"/>
          <w:bCs/>
          <w:color w:val="auto"/>
          <w:kern w:val="0"/>
          <w:sz w:val="32"/>
          <w:szCs w:val="32"/>
          <w:u w:val="none"/>
        </w:rPr>
        <w:t>冻猪肉储备</w:t>
      </w:r>
      <w:r>
        <w:rPr>
          <w:rFonts w:hint="eastAsia" w:ascii="仿宋_GB2312" w:eastAsia="仿宋_GB2312"/>
          <w:bCs/>
          <w:color w:val="auto"/>
          <w:kern w:val="0"/>
          <w:sz w:val="32"/>
          <w:szCs w:val="32"/>
          <w:u w:val="none"/>
          <w:lang w:eastAsia="zh-CN"/>
        </w:rPr>
        <w:t>承储企业</w:t>
      </w:r>
      <w:r>
        <w:rPr>
          <w:rFonts w:hint="eastAsia" w:ascii="仿宋_GB2312" w:eastAsia="仿宋_GB2312"/>
          <w:bCs/>
          <w:color w:val="auto"/>
          <w:kern w:val="0"/>
          <w:sz w:val="32"/>
          <w:szCs w:val="32"/>
          <w:u w:val="none"/>
        </w:rPr>
        <w:t>资质条件：</w:t>
      </w:r>
    </w:p>
    <w:p>
      <w:pPr>
        <w:keepNext w:val="0"/>
        <w:keepLines w:val="0"/>
        <w:pageBreakBefore w:val="0"/>
        <w:kinsoku/>
        <w:wordWrap/>
        <w:overflowPunct/>
        <w:topLinePunct w:val="0"/>
        <w:autoSpaceDE/>
        <w:autoSpaceDN/>
        <w:bidi w:val="0"/>
        <w:adjustRightInd w:val="0"/>
        <w:snapToGrid w:val="0"/>
        <w:spacing w:line="530" w:lineRule="exact"/>
        <w:ind w:firstLine="600"/>
        <w:textAlignment w:val="auto"/>
        <w:rPr>
          <w:rFonts w:ascii="仿宋_GB2312" w:eastAsia="仿宋_GB2312"/>
          <w:bCs/>
          <w:color w:val="auto"/>
          <w:kern w:val="0"/>
          <w:sz w:val="32"/>
          <w:szCs w:val="32"/>
          <w:u w:val="none"/>
        </w:rPr>
      </w:pPr>
      <w:r>
        <w:rPr>
          <w:rFonts w:hint="eastAsia" w:ascii="仿宋_GB2312" w:eastAsia="仿宋_GB2312"/>
          <w:bCs/>
          <w:color w:val="auto"/>
          <w:kern w:val="0"/>
          <w:sz w:val="32"/>
          <w:szCs w:val="32"/>
          <w:u w:val="none"/>
        </w:rPr>
        <w:t>（一）注册地在浙江省域内，具备肉类经营资格及独立承担民事责任能力的企业；</w:t>
      </w:r>
    </w:p>
    <w:p>
      <w:pPr>
        <w:keepNext w:val="0"/>
        <w:keepLines w:val="0"/>
        <w:pageBreakBefore w:val="0"/>
        <w:kinsoku/>
        <w:wordWrap/>
        <w:overflowPunct/>
        <w:topLinePunct w:val="0"/>
        <w:autoSpaceDE/>
        <w:autoSpaceDN/>
        <w:bidi w:val="0"/>
        <w:adjustRightInd w:val="0"/>
        <w:snapToGrid w:val="0"/>
        <w:spacing w:line="530" w:lineRule="exact"/>
        <w:ind w:firstLine="600"/>
        <w:textAlignment w:val="auto"/>
        <w:rPr>
          <w:rFonts w:ascii="仿宋_GB2312" w:eastAsia="仿宋_GB2312"/>
          <w:bCs/>
          <w:color w:val="auto"/>
          <w:kern w:val="0"/>
          <w:sz w:val="32"/>
          <w:szCs w:val="32"/>
          <w:u w:val="none"/>
        </w:rPr>
      </w:pPr>
      <w:r>
        <w:rPr>
          <w:rFonts w:hint="eastAsia" w:ascii="仿宋_GB2312" w:eastAsia="仿宋_GB2312"/>
          <w:bCs/>
          <w:color w:val="auto"/>
          <w:kern w:val="0"/>
          <w:sz w:val="32"/>
          <w:szCs w:val="32"/>
          <w:u w:val="none"/>
        </w:rPr>
        <w:t>（二）具有《营业执照》、《食品经营许可证》等合法资质；</w:t>
      </w:r>
    </w:p>
    <w:p>
      <w:pPr>
        <w:keepNext w:val="0"/>
        <w:keepLines w:val="0"/>
        <w:pageBreakBefore w:val="0"/>
        <w:kinsoku/>
        <w:wordWrap/>
        <w:overflowPunct/>
        <w:topLinePunct w:val="0"/>
        <w:autoSpaceDE/>
        <w:autoSpaceDN/>
        <w:bidi w:val="0"/>
        <w:adjustRightInd w:val="0"/>
        <w:snapToGrid w:val="0"/>
        <w:spacing w:line="530" w:lineRule="exact"/>
        <w:ind w:firstLine="600"/>
        <w:textAlignment w:val="auto"/>
        <w:rPr>
          <w:rFonts w:ascii="仿宋_GB2312" w:eastAsia="仿宋_GB2312"/>
          <w:bCs/>
          <w:color w:val="auto"/>
          <w:kern w:val="0"/>
          <w:sz w:val="32"/>
          <w:szCs w:val="32"/>
          <w:u w:val="none"/>
        </w:rPr>
      </w:pPr>
      <w:r>
        <w:rPr>
          <w:rFonts w:hint="eastAsia" w:ascii="仿宋_GB2312" w:eastAsia="仿宋_GB2312"/>
          <w:bCs/>
          <w:color w:val="auto"/>
          <w:kern w:val="0"/>
          <w:sz w:val="32"/>
          <w:szCs w:val="32"/>
          <w:u w:val="none"/>
        </w:rPr>
        <w:t>（三）</w:t>
      </w:r>
      <w:r>
        <w:rPr>
          <w:rFonts w:hint="eastAsia" w:ascii="仿宋_GB2312" w:eastAsia="仿宋_GB2312"/>
          <w:bCs/>
          <w:color w:val="auto"/>
          <w:kern w:val="0"/>
          <w:sz w:val="32"/>
          <w:szCs w:val="32"/>
          <w:u w:val="none"/>
          <w:lang w:eastAsia="zh-CN"/>
        </w:rPr>
        <w:t>企业</w:t>
      </w:r>
      <w:r>
        <w:rPr>
          <w:rFonts w:hint="eastAsia" w:ascii="仿宋_GB2312" w:eastAsia="仿宋_GB2312"/>
          <w:bCs/>
          <w:color w:val="auto"/>
          <w:kern w:val="0"/>
          <w:sz w:val="32"/>
          <w:szCs w:val="32"/>
          <w:u w:val="none"/>
        </w:rPr>
        <w:t>年销售量</w:t>
      </w:r>
      <w:r>
        <w:rPr>
          <w:rFonts w:hint="eastAsia" w:ascii="仿宋_GB2312" w:eastAsia="仿宋_GB2312"/>
          <w:bCs/>
          <w:color w:val="auto"/>
          <w:kern w:val="0"/>
          <w:sz w:val="32"/>
          <w:szCs w:val="32"/>
          <w:u w:val="none"/>
          <w:lang w:eastAsia="zh-CN"/>
        </w:rPr>
        <w:t>或者使用量</w:t>
      </w:r>
      <w:r>
        <w:rPr>
          <w:rFonts w:hint="eastAsia" w:ascii="仿宋_GB2312" w:eastAsia="仿宋_GB2312"/>
          <w:bCs/>
          <w:color w:val="auto"/>
          <w:kern w:val="0"/>
          <w:sz w:val="32"/>
          <w:szCs w:val="32"/>
          <w:u w:val="none"/>
        </w:rPr>
        <w:t>不少于企业投标标的量</w:t>
      </w:r>
      <w:r>
        <w:rPr>
          <w:rFonts w:hint="eastAsia" w:ascii="仿宋_GB2312" w:eastAsia="仿宋_GB2312"/>
          <w:bCs/>
          <w:color w:val="auto"/>
          <w:kern w:val="0"/>
          <w:sz w:val="32"/>
          <w:szCs w:val="32"/>
          <w:u w:val="none"/>
          <w:lang w:eastAsia="zh-CN"/>
        </w:rPr>
        <w:t>，</w:t>
      </w:r>
      <w:r>
        <w:rPr>
          <w:rFonts w:hint="eastAsia" w:ascii="仿宋_GB2312" w:eastAsia="仿宋_GB2312"/>
          <w:bCs/>
          <w:color w:val="auto"/>
          <w:kern w:val="0"/>
          <w:sz w:val="32"/>
          <w:szCs w:val="32"/>
          <w:u w:val="none"/>
        </w:rPr>
        <w:t>经营管理状态良好，近三年</w:t>
      </w:r>
      <w:r>
        <w:rPr>
          <w:rFonts w:hint="eastAsia" w:ascii="仿宋_GB2312" w:eastAsia="仿宋_GB2312"/>
          <w:bCs/>
          <w:color w:val="auto"/>
          <w:sz w:val="32"/>
          <w:szCs w:val="32"/>
          <w:u w:val="none"/>
        </w:rPr>
        <w:t>无违法违规行为和不良信用记录，</w:t>
      </w:r>
      <w:r>
        <w:rPr>
          <w:rFonts w:hint="eastAsia" w:ascii="仿宋_GB2312" w:eastAsia="仿宋_GB2312"/>
          <w:bCs/>
          <w:color w:val="auto"/>
          <w:kern w:val="0"/>
          <w:sz w:val="32"/>
          <w:szCs w:val="32"/>
          <w:u w:val="none"/>
        </w:rPr>
        <w:t>企业资产负债率低于70%；</w:t>
      </w:r>
    </w:p>
    <w:p>
      <w:pPr>
        <w:keepNext w:val="0"/>
        <w:keepLines w:val="0"/>
        <w:pageBreakBefore w:val="0"/>
        <w:kinsoku/>
        <w:wordWrap/>
        <w:overflowPunct/>
        <w:topLinePunct w:val="0"/>
        <w:autoSpaceDE/>
        <w:autoSpaceDN/>
        <w:bidi w:val="0"/>
        <w:adjustRightInd w:val="0"/>
        <w:snapToGrid w:val="0"/>
        <w:spacing w:line="530" w:lineRule="exact"/>
        <w:ind w:firstLine="600"/>
        <w:textAlignment w:val="auto"/>
        <w:rPr>
          <w:rFonts w:hint="eastAsia" w:ascii="仿宋_GB2312" w:eastAsia="仿宋_GB2312"/>
          <w:color w:val="auto"/>
          <w:kern w:val="0"/>
          <w:sz w:val="32"/>
          <w:szCs w:val="32"/>
          <w:u w:val="none"/>
          <w:lang w:eastAsia="zh-CN"/>
        </w:rPr>
      </w:pPr>
      <w:r>
        <w:rPr>
          <w:rFonts w:hint="eastAsia" w:ascii="仿宋_GB2312" w:eastAsia="仿宋_GB2312"/>
          <w:bCs/>
          <w:color w:val="auto"/>
          <w:kern w:val="0"/>
          <w:sz w:val="32"/>
          <w:szCs w:val="32"/>
          <w:u w:val="none"/>
        </w:rPr>
        <w:t>（四）在</w:t>
      </w:r>
      <w:r>
        <w:rPr>
          <w:rFonts w:hint="eastAsia" w:ascii="仿宋_GB2312" w:eastAsia="仿宋_GB2312"/>
          <w:bCs/>
          <w:color w:val="auto"/>
          <w:kern w:val="0"/>
          <w:sz w:val="32"/>
          <w:szCs w:val="32"/>
          <w:u w:val="none"/>
          <w:lang w:eastAsia="zh-CN"/>
        </w:rPr>
        <w:t>浙江</w:t>
      </w:r>
      <w:r>
        <w:rPr>
          <w:rFonts w:hint="eastAsia" w:ascii="仿宋_GB2312" w:eastAsia="仿宋_GB2312"/>
          <w:bCs/>
          <w:color w:val="auto"/>
          <w:kern w:val="0"/>
          <w:sz w:val="32"/>
          <w:szCs w:val="32"/>
          <w:u w:val="none"/>
        </w:rPr>
        <w:t>省域内拥有符合《国家储备冻肉储存冷库资质条件》（SB/T 10408-2007）要求的冷库</w:t>
      </w:r>
      <w:r>
        <w:rPr>
          <w:rFonts w:hint="eastAsia" w:ascii="仿宋_GB2312" w:eastAsia="仿宋_GB2312"/>
          <w:bCs/>
          <w:color w:val="auto"/>
          <w:kern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line="530" w:lineRule="exact"/>
        <w:ind w:firstLine="640" w:firstLineChars="200"/>
        <w:textAlignment w:val="auto"/>
        <w:rPr>
          <w:rFonts w:ascii="仿宋_GB2312" w:eastAsia="仿宋_GB2312"/>
          <w:bCs/>
          <w:color w:val="auto"/>
          <w:sz w:val="32"/>
          <w:szCs w:val="32"/>
          <w:u w:val="none"/>
        </w:rPr>
      </w:pPr>
      <w:r>
        <w:rPr>
          <w:rFonts w:hint="eastAsia" w:ascii="仿宋_GB2312" w:eastAsia="仿宋_GB2312"/>
          <w:bCs/>
          <w:color w:val="auto"/>
          <w:sz w:val="32"/>
          <w:szCs w:val="32"/>
          <w:u w:val="none"/>
        </w:rPr>
        <w:t>（五）管理规范，制度健全，未发生商品储存和安全生产责任事故；</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5"/>
        <w:textAlignment w:val="auto"/>
        <w:rPr>
          <w:rFonts w:ascii="黑体" w:hAnsi="黑体" w:eastAsia="黑体"/>
          <w:bCs/>
          <w:color w:val="auto"/>
          <w:kern w:val="0"/>
          <w:sz w:val="32"/>
          <w:szCs w:val="32"/>
          <w:u w:val="none"/>
        </w:rPr>
      </w:pPr>
      <w:r>
        <w:rPr>
          <w:rFonts w:hint="eastAsia" w:ascii="仿宋_GB2312" w:eastAsia="仿宋_GB2312"/>
          <w:color w:val="auto"/>
          <w:kern w:val="0"/>
          <w:sz w:val="32"/>
          <w:szCs w:val="32"/>
          <w:u w:val="none"/>
        </w:rPr>
        <w:t>（六）具有与投标标的数量相适应的投放能力和运输能力。</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hint="eastAsia" w:ascii="黑体" w:hAnsi="黑体" w:eastAsia="黑体"/>
          <w:bCs/>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ascii="黑体" w:hAnsi="黑体" w:eastAsia="黑体"/>
          <w:bCs/>
          <w:color w:val="auto"/>
          <w:kern w:val="0"/>
          <w:sz w:val="32"/>
          <w:szCs w:val="32"/>
          <w:u w:val="none"/>
        </w:rPr>
      </w:pPr>
      <w:r>
        <w:rPr>
          <w:rFonts w:hint="eastAsia" w:ascii="黑体" w:hAnsi="黑体" w:eastAsia="黑体"/>
          <w:bCs/>
          <w:color w:val="auto"/>
          <w:kern w:val="0"/>
          <w:sz w:val="32"/>
          <w:szCs w:val="32"/>
          <w:u w:val="none"/>
        </w:rPr>
        <w:t>第四章  收储管理</w:t>
      </w:r>
    </w:p>
    <w:p>
      <w:pPr>
        <w:keepNext w:val="0"/>
        <w:keepLines w:val="0"/>
        <w:pageBreakBefore w:val="0"/>
        <w:kinsoku/>
        <w:wordWrap/>
        <w:overflowPunct/>
        <w:topLinePunct w:val="0"/>
        <w:autoSpaceDE/>
        <w:autoSpaceDN/>
        <w:bidi w:val="0"/>
        <w:adjustRightInd w:val="0"/>
        <w:snapToGrid w:val="0"/>
        <w:spacing w:line="530" w:lineRule="exact"/>
        <w:textAlignment w:val="auto"/>
        <w:rPr>
          <w:rFonts w:hint="eastAsia" w:ascii="仿宋" w:hAnsi="仿宋" w:eastAsia="仿宋"/>
          <w:color w:val="auto"/>
          <w:sz w:val="32"/>
          <w:szCs w:val="32"/>
          <w:u w:val="none"/>
        </w:rPr>
      </w:pPr>
      <w:r>
        <w:rPr>
          <w:rFonts w:hint="eastAsia" w:ascii="仿宋_GB2312" w:eastAsia="仿宋_GB2312"/>
          <w:color w:val="auto"/>
          <w:kern w:val="0"/>
          <w:sz w:val="32"/>
          <w:szCs w:val="32"/>
          <w:u w:val="none"/>
        </w:rPr>
        <w:t xml:space="preserve">   </w:t>
      </w:r>
      <w:r>
        <w:rPr>
          <w:rFonts w:hint="eastAsia" w:ascii="仿宋_GB2312" w:eastAsia="仿宋_GB2312"/>
          <w:color w:val="auto"/>
          <w:kern w:val="0"/>
          <w:sz w:val="32"/>
          <w:szCs w:val="32"/>
          <w:u w:val="none"/>
          <w:lang w:val="en-US" w:eastAsia="zh-CN"/>
        </w:rPr>
        <w:t xml:space="preserve">  </w:t>
      </w:r>
      <w:r>
        <w:rPr>
          <w:rFonts w:hint="eastAsia" w:ascii="仿宋_GB2312" w:eastAsia="仿宋_GB2312"/>
          <w:b/>
          <w:bCs w:val="0"/>
          <w:color w:val="auto"/>
          <w:kern w:val="0"/>
          <w:sz w:val="32"/>
          <w:szCs w:val="32"/>
          <w:u w:val="none"/>
        </w:rPr>
        <w:t>第九条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rPr>
        <w:t xml:space="preserve"> </w:t>
      </w:r>
      <w:r>
        <w:rPr>
          <w:rFonts w:hint="eastAsia" w:ascii="仿宋" w:hAnsi="仿宋" w:eastAsia="仿宋"/>
          <w:color w:val="auto"/>
          <w:sz w:val="32"/>
          <w:szCs w:val="32"/>
          <w:u w:val="none"/>
        </w:rPr>
        <w:t>冻</w:t>
      </w:r>
      <w:r>
        <w:rPr>
          <w:rFonts w:hint="eastAsia" w:ascii="仿宋_GB2312" w:eastAsia="仿宋_GB2312"/>
          <w:color w:val="auto"/>
          <w:kern w:val="0"/>
          <w:sz w:val="32"/>
          <w:szCs w:val="32"/>
          <w:u w:val="none"/>
        </w:rPr>
        <w:t>猪</w:t>
      </w:r>
      <w:r>
        <w:rPr>
          <w:rFonts w:hint="eastAsia" w:ascii="仿宋" w:hAnsi="仿宋" w:eastAsia="仿宋"/>
          <w:color w:val="auto"/>
          <w:sz w:val="32"/>
          <w:szCs w:val="32"/>
          <w:u w:val="none"/>
        </w:rPr>
        <w:t>肉储备按照市政府</w:t>
      </w:r>
      <w:r>
        <w:rPr>
          <w:rFonts w:hint="eastAsia" w:ascii="仿宋" w:hAnsi="仿宋" w:eastAsia="仿宋"/>
          <w:color w:val="auto"/>
          <w:sz w:val="32"/>
          <w:szCs w:val="32"/>
          <w:u w:val="none"/>
          <w:lang w:eastAsia="zh-CN"/>
        </w:rPr>
        <w:t>的</w:t>
      </w:r>
      <w:r>
        <w:rPr>
          <w:rFonts w:hint="eastAsia" w:ascii="仿宋" w:hAnsi="仿宋" w:eastAsia="仿宋"/>
          <w:color w:val="auto"/>
          <w:sz w:val="32"/>
          <w:szCs w:val="32"/>
          <w:u w:val="none"/>
        </w:rPr>
        <w:t>储备计划，经公开招标确定</w:t>
      </w:r>
      <w:r>
        <w:rPr>
          <w:rFonts w:hint="eastAsia" w:ascii="仿宋" w:hAnsi="仿宋" w:eastAsia="仿宋"/>
          <w:color w:val="auto"/>
          <w:sz w:val="32"/>
          <w:szCs w:val="32"/>
          <w:u w:val="none"/>
          <w:lang w:eastAsia="zh-CN"/>
        </w:rPr>
        <w:t>储备企业</w:t>
      </w:r>
      <w:r>
        <w:rPr>
          <w:rFonts w:hint="eastAsia" w:ascii="仿宋" w:hAnsi="仿宋" w:eastAsia="仿宋"/>
          <w:color w:val="auto"/>
          <w:sz w:val="32"/>
          <w:szCs w:val="32"/>
          <w:u w:val="none"/>
        </w:rPr>
        <w:t>，</w:t>
      </w:r>
      <w:r>
        <w:rPr>
          <w:rFonts w:hint="eastAsia" w:ascii="仿宋" w:hAnsi="仿宋" w:eastAsia="仿宋"/>
          <w:color w:val="auto"/>
          <w:sz w:val="32"/>
          <w:szCs w:val="32"/>
          <w:u w:val="none"/>
          <w:lang w:eastAsia="zh-CN"/>
        </w:rPr>
        <w:t>利用</w:t>
      </w:r>
      <w:r>
        <w:rPr>
          <w:rFonts w:hint="eastAsia" w:ascii="仿宋" w:hAnsi="仿宋" w:eastAsia="仿宋"/>
          <w:color w:val="auto"/>
          <w:sz w:val="32"/>
          <w:szCs w:val="32"/>
          <w:u w:val="none"/>
        </w:rPr>
        <w:t>企业生产或者经营所需的在库冻猪肉存储量</w:t>
      </w:r>
      <w:r>
        <w:rPr>
          <w:rFonts w:hint="eastAsia" w:ascii="仿宋" w:hAnsi="仿宋" w:eastAsia="仿宋"/>
          <w:color w:val="auto"/>
          <w:sz w:val="32"/>
          <w:szCs w:val="32"/>
          <w:u w:val="none"/>
          <w:lang w:eastAsia="zh-CN"/>
        </w:rPr>
        <w:t>作为储备，实行企业自行轮换，保证质量</w:t>
      </w:r>
      <w:r>
        <w:rPr>
          <w:rFonts w:hint="eastAsia" w:ascii="仿宋" w:hAnsi="仿宋" w:eastAsia="仿宋"/>
          <w:color w:val="auto"/>
          <w:sz w:val="32"/>
          <w:szCs w:val="32"/>
          <w:u w:val="none"/>
        </w:rPr>
        <w:t>。</w:t>
      </w:r>
    </w:p>
    <w:p>
      <w:pPr>
        <w:keepNext w:val="0"/>
        <w:keepLines w:val="0"/>
        <w:pageBreakBefore w:val="0"/>
        <w:kinsoku/>
        <w:wordWrap/>
        <w:overflowPunct/>
        <w:topLinePunct w:val="0"/>
        <w:autoSpaceDE/>
        <w:autoSpaceDN/>
        <w:bidi w:val="0"/>
        <w:adjustRightInd w:val="0"/>
        <w:snapToGrid w:val="0"/>
        <w:spacing w:line="530" w:lineRule="exact"/>
        <w:ind w:firstLine="640" w:firstLineChars="200"/>
        <w:textAlignment w:val="auto"/>
        <w:rPr>
          <w:rFonts w:hint="eastAsia" w:ascii="仿宋_GB2312" w:eastAsia="仿宋_GB2312"/>
          <w:color w:val="auto"/>
          <w:kern w:val="0"/>
          <w:sz w:val="32"/>
          <w:szCs w:val="32"/>
          <w:u w:val="none"/>
          <w:lang w:eastAsia="zh-CN"/>
        </w:rPr>
      </w:pPr>
      <w:r>
        <w:rPr>
          <w:rFonts w:hint="eastAsia" w:ascii="仿宋" w:hAnsi="仿宋" w:eastAsia="仿宋"/>
          <w:color w:val="auto"/>
          <w:sz w:val="32"/>
          <w:szCs w:val="32"/>
          <w:u w:val="none"/>
          <w:lang w:eastAsia="zh-CN"/>
        </w:rPr>
        <w:t>（一）储存在浙江省</w:t>
      </w:r>
      <w:r>
        <w:rPr>
          <w:rFonts w:hint="eastAsia" w:ascii="仿宋_GB2312" w:eastAsia="仿宋_GB2312"/>
          <w:bCs/>
          <w:color w:val="auto"/>
          <w:kern w:val="0"/>
          <w:sz w:val="32"/>
          <w:szCs w:val="32"/>
          <w:u w:val="none"/>
        </w:rPr>
        <w:t>域内</w:t>
      </w:r>
      <w:r>
        <w:rPr>
          <w:rFonts w:hint="eastAsia" w:ascii="仿宋_GB2312" w:eastAsia="仿宋_GB2312"/>
          <w:bCs/>
          <w:color w:val="auto"/>
          <w:kern w:val="0"/>
          <w:sz w:val="32"/>
          <w:szCs w:val="32"/>
          <w:u w:val="none"/>
          <w:lang w:eastAsia="zh-CN"/>
        </w:rPr>
        <w:t>，</w:t>
      </w:r>
      <w:r>
        <w:rPr>
          <w:rFonts w:hint="eastAsia" w:ascii="仿宋" w:hAnsi="仿宋" w:eastAsia="仿宋"/>
          <w:color w:val="auto"/>
          <w:sz w:val="32"/>
          <w:szCs w:val="32"/>
          <w:u w:val="none"/>
          <w:lang w:eastAsia="zh-CN"/>
        </w:rPr>
        <w:t>库房和库区相对独立，方便</w:t>
      </w:r>
      <w:r>
        <w:rPr>
          <w:rFonts w:hint="eastAsia" w:ascii="仿宋_GB2312" w:eastAsia="仿宋_GB2312"/>
          <w:color w:val="auto"/>
          <w:kern w:val="0"/>
          <w:sz w:val="32"/>
          <w:szCs w:val="32"/>
          <w:u w:val="none"/>
          <w:lang w:eastAsia="zh-CN"/>
        </w:rPr>
        <w:t>快速</w:t>
      </w:r>
      <w:r>
        <w:rPr>
          <w:rFonts w:hint="eastAsia" w:ascii="仿宋_GB2312" w:eastAsia="仿宋_GB2312"/>
          <w:color w:val="auto"/>
          <w:kern w:val="0"/>
          <w:sz w:val="32"/>
          <w:szCs w:val="32"/>
          <w:u w:val="none"/>
        </w:rPr>
        <w:t>中转、装卸、调运</w:t>
      </w:r>
      <w:r>
        <w:rPr>
          <w:rFonts w:hint="eastAsia" w:ascii="仿宋_GB2312" w:eastAsia="仿宋_GB2312"/>
          <w:color w:val="auto"/>
          <w:kern w:val="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line="530" w:lineRule="exact"/>
        <w:ind w:firstLine="640" w:firstLineChars="20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二</w:t>
      </w:r>
      <w:r>
        <w:rPr>
          <w:rFonts w:hint="eastAsia" w:ascii="仿宋_GB2312" w:eastAsia="仿宋_GB2312"/>
          <w:color w:val="auto"/>
          <w:kern w:val="0"/>
          <w:sz w:val="32"/>
          <w:szCs w:val="32"/>
          <w:u w:val="none"/>
        </w:rPr>
        <w:t>）入库品种必须是符合国家有关标准的符合国家有关标准的</w:t>
      </w:r>
      <w:r>
        <w:rPr>
          <w:rFonts w:hint="eastAsia" w:ascii="仿宋_GB2312" w:eastAsia="仿宋_GB2312"/>
          <w:color w:val="auto"/>
          <w:kern w:val="0"/>
          <w:sz w:val="32"/>
          <w:szCs w:val="32"/>
          <w:u w:val="none"/>
          <w:lang w:eastAsia="zh-CN"/>
        </w:rPr>
        <w:t>带皮、去皮冻片猪肉、</w:t>
      </w:r>
      <w:r>
        <w:rPr>
          <w:rFonts w:hint="eastAsia" w:ascii="仿宋_GB2312" w:eastAsia="仿宋_GB2312"/>
          <w:color w:val="auto"/>
          <w:kern w:val="0"/>
          <w:sz w:val="32"/>
          <w:szCs w:val="32"/>
          <w:u w:val="none"/>
        </w:rPr>
        <w:t>预冷猪肉及其分割产品（包括碎肉）；</w:t>
      </w:r>
    </w:p>
    <w:p>
      <w:pPr>
        <w:keepNext w:val="0"/>
        <w:keepLines w:val="0"/>
        <w:pageBreakBefore w:val="0"/>
        <w:kinsoku/>
        <w:wordWrap/>
        <w:overflowPunct/>
        <w:topLinePunct w:val="0"/>
        <w:autoSpaceDE/>
        <w:autoSpaceDN/>
        <w:bidi w:val="0"/>
        <w:adjustRightInd w:val="0"/>
        <w:snapToGrid w:val="0"/>
        <w:spacing w:line="530" w:lineRule="exact"/>
        <w:ind w:firstLine="600"/>
        <w:textAlignment w:val="auto"/>
        <w:rPr>
          <w:rFonts w:hint="eastAsia" w:ascii="仿宋_GB2312" w:eastAsia="仿宋_GB2312"/>
          <w:color w:val="auto"/>
          <w:kern w:val="0"/>
          <w:sz w:val="32"/>
          <w:szCs w:val="32"/>
          <w:u w:val="none"/>
        </w:rPr>
      </w:pP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三</w:t>
      </w:r>
      <w:r>
        <w:rPr>
          <w:rFonts w:hint="eastAsia" w:ascii="仿宋_GB2312" w:eastAsia="仿宋_GB2312"/>
          <w:color w:val="auto"/>
          <w:kern w:val="0"/>
          <w:sz w:val="32"/>
          <w:szCs w:val="32"/>
          <w:u w:val="none"/>
        </w:rPr>
        <w:t>）入库储备</w:t>
      </w:r>
      <w:r>
        <w:rPr>
          <w:rFonts w:hint="eastAsia" w:ascii="仿宋_GB2312" w:eastAsia="仿宋_GB2312"/>
          <w:color w:val="auto"/>
          <w:kern w:val="0"/>
          <w:sz w:val="32"/>
          <w:szCs w:val="32"/>
          <w:u w:val="none"/>
          <w:lang w:eastAsia="zh-CN"/>
        </w:rPr>
        <w:t>肉</w:t>
      </w:r>
      <w:r>
        <w:rPr>
          <w:rFonts w:hint="eastAsia" w:ascii="仿宋_GB2312" w:eastAsia="仿宋_GB2312"/>
          <w:color w:val="auto"/>
          <w:kern w:val="0"/>
          <w:sz w:val="32"/>
          <w:szCs w:val="32"/>
          <w:u w:val="none"/>
        </w:rPr>
        <w:t>质量必须符合《鲜、冻片猪肉》、《分割鲜、冻猪瘦肉》最新国家标准和《中华人民共和国食品安全法》等相关法律法规规定。</w:t>
      </w:r>
    </w:p>
    <w:p>
      <w:pPr>
        <w:keepNext w:val="0"/>
        <w:keepLines w:val="0"/>
        <w:pageBreakBefore w:val="0"/>
        <w:kinsoku/>
        <w:wordWrap/>
        <w:overflowPunct/>
        <w:topLinePunct w:val="0"/>
        <w:autoSpaceDE/>
        <w:autoSpaceDN/>
        <w:bidi w:val="0"/>
        <w:adjustRightInd w:val="0"/>
        <w:snapToGrid w:val="0"/>
        <w:spacing w:line="530" w:lineRule="exact"/>
        <w:ind w:firstLine="600"/>
        <w:textAlignment w:val="auto"/>
        <w:rPr>
          <w:rFonts w:hint="default" w:ascii="仿宋_GB2312" w:eastAsia="仿宋_GB2312"/>
          <w:color w:val="auto"/>
          <w:kern w:val="0"/>
          <w:sz w:val="32"/>
          <w:szCs w:val="32"/>
          <w:u w:val="none"/>
          <w:lang w:val="en-US" w:eastAsia="zh-CN"/>
        </w:rPr>
      </w:pPr>
      <w:r>
        <w:rPr>
          <w:rFonts w:hint="eastAsia" w:ascii="仿宋_GB2312" w:eastAsia="仿宋_GB2312"/>
          <w:b/>
          <w:bCs w:val="0"/>
          <w:color w:val="auto"/>
          <w:kern w:val="0"/>
          <w:sz w:val="32"/>
          <w:szCs w:val="32"/>
          <w:u w:val="none"/>
        </w:rPr>
        <w:t>第十条</w:t>
      </w:r>
      <w:r>
        <w:rPr>
          <w:rFonts w:hint="eastAsia" w:ascii="仿宋_GB2312" w:eastAsia="仿宋_GB2312"/>
          <w:bCs/>
          <w:color w:val="auto"/>
          <w:kern w:val="0"/>
          <w:sz w:val="32"/>
          <w:szCs w:val="32"/>
          <w:u w:val="none"/>
          <w:lang w:val="en-US" w:eastAsia="zh-CN"/>
        </w:rPr>
        <w:t xml:space="preserve">  </w:t>
      </w:r>
      <w:r>
        <w:rPr>
          <w:rFonts w:hint="eastAsia" w:ascii="仿宋_GB2312" w:eastAsia="仿宋_GB2312"/>
          <w:color w:val="auto"/>
          <w:kern w:val="0"/>
          <w:sz w:val="32"/>
          <w:szCs w:val="32"/>
          <w:u w:val="none"/>
        </w:rPr>
        <w:t>根据招标结果确定</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，由储管中心与</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签订承储合同。</w:t>
      </w:r>
      <w:r>
        <w:rPr>
          <w:rFonts w:hint="eastAsia" w:ascii="仿宋_GB2312" w:eastAsia="仿宋_GB2312"/>
          <w:color w:val="auto"/>
          <w:kern w:val="0"/>
          <w:sz w:val="32"/>
          <w:szCs w:val="32"/>
          <w:u w:val="none"/>
          <w:lang w:eastAsia="zh-CN"/>
        </w:rPr>
        <w:t>签订合同后，承储企业的</w:t>
      </w:r>
      <w:r>
        <w:rPr>
          <w:rFonts w:hint="eastAsia" w:ascii="仿宋" w:hAnsi="仿宋" w:eastAsia="仿宋"/>
          <w:color w:val="auto"/>
          <w:sz w:val="32"/>
          <w:szCs w:val="32"/>
          <w:u w:val="none"/>
        </w:rPr>
        <w:t>存储量</w:t>
      </w:r>
      <w:r>
        <w:rPr>
          <w:rFonts w:hint="eastAsia" w:ascii="仿宋" w:hAnsi="仿宋" w:eastAsia="仿宋"/>
          <w:color w:val="auto"/>
          <w:sz w:val="32"/>
          <w:szCs w:val="32"/>
          <w:u w:val="none"/>
          <w:lang w:eastAsia="zh-CN"/>
        </w:rPr>
        <w:t>要</w:t>
      </w:r>
      <w:r>
        <w:rPr>
          <w:rFonts w:hint="eastAsia" w:ascii="仿宋_GB2312" w:eastAsia="仿宋_GB2312"/>
          <w:color w:val="auto"/>
          <w:kern w:val="0"/>
          <w:sz w:val="32"/>
          <w:szCs w:val="32"/>
          <w:u w:val="none"/>
          <w:lang w:eastAsia="zh-CN"/>
        </w:rPr>
        <w:t>在</w:t>
      </w:r>
      <w:r>
        <w:rPr>
          <w:rFonts w:hint="eastAsia" w:ascii="仿宋_GB2312" w:eastAsia="仿宋_GB2312"/>
          <w:color w:val="auto"/>
          <w:kern w:val="0"/>
          <w:sz w:val="32"/>
          <w:szCs w:val="32"/>
          <w:u w:val="none"/>
          <w:lang w:val="en-US" w:eastAsia="zh-CN"/>
        </w:rPr>
        <w:t>30天内到达合同签订的储备量。</w:t>
      </w:r>
    </w:p>
    <w:p>
      <w:pPr>
        <w:keepNext w:val="0"/>
        <w:keepLines w:val="0"/>
        <w:pageBreakBefore w:val="0"/>
        <w:kinsoku/>
        <w:wordWrap/>
        <w:overflowPunct/>
        <w:topLinePunct w:val="0"/>
        <w:autoSpaceDE/>
        <w:autoSpaceDN/>
        <w:bidi w:val="0"/>
        <w:adjustRightInd w:val="0"/>
        <w:snapToGrid w:val="0"/>
        <w:spacing w:line="530" w:lineRule="exact"/>
        <w:ind w:firstLine="640" w:firstLineChars="200"/>
        <w:textAlignment w:val="auto"/>
        <w:rPr>
          <w:rFonts w:ascii="黑体" w:hAnsi="黑体" w:eastAsia="黑体"/>
          <w:bCs/>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ascii="黑体" w:hAnsi="黑体" w:eastAsia="黑体"/>
          <w:bCs/>
          <w:color w:val="auto"/>
          <w:kern w:val="0"/>
          <w:sz w:val="32"/>
          <w:szCs w:val="32"/>
          <w:u w:val="none"/>
        </w:rPr>
      </w:pPr>
      <w:r>
        <w:rPr>
          <w:rFonts w:hint="eastAsia" w:ascii="黑体" w:hAnsi="黑体" w:eastAsia="黑体"/>
          <w:bCs/>
          <w:color w:val="auto"/>
          <w:kern w:val="0"/>
          <w:sz w:val="32"/>
          <w:szCs w:val="32"/>
          <w:u w:val="none"/>
        </w:rPr>
        <w:t>第五章  在库管理</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textAlignment w:val="auto"/>
        <w:rPr>
          <w:rFonts w:ascii="仿宋_GB2312" w:eastAsia="仿宋_GB2312"/>
          <w:bCs/>
          <w:color w:val="auto"/>
          <w:kern w:val="0"/>
          <w:sz w:val="32"/>
          <w:szCs w:val="32"/>
          <w:u w:val="none"/>
        </w:rPr>
      </w:pPr>
      <w:r>
        <w:rPr>
          <w:rFonts w:hint="eastAsia" w:ascii="仿宋_GB2312" w:eastAsia="仿宋_GB2312"/>
          <w:bCs/>
          <w:color w:val="auto"/>
          <w:kern w:val="0"/>
          <w:sz w:val="32"/>
          <w:szCs w:val="32"/>
          <w:u w:val="none"/>
        </w:rPr>
        <w:t xml:space="preserve">    </w:t>
      </w:r>
      <w:r>
        <w:rPr>
          <w:rFonts w:hint="eastAsia" w:ascii="仿宋_GB2312" w:eastAsia="仿宋_GB2312"/>
          <w:b/>
          <w:bCs w:val="0"/>
          <w:color w:val="auto"/>
          <w:kern w:val="0"/>
          <w:sz w:val="32"/>
          <w:szCs w:val="32"/>
          <w:u w:val="none"/>
        </w:rPr>
        <w:t>第十一条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bCs/>
          <w:color w:val="auto"/>
          <w:kern w:val="0"/>
          <w:sz w:val="32"/>
          <w:szCs w:val="32"/>
          <w:u w:val="none"/>
        </w:rPr>
        <w:t xml:space="preserve"> </w:t>
      </w:r>
      <w:r>
        <w:rPr>
          <w:rFonts w:hint="eastAsia" w:ascii="仿宋_GB2312" w:eastAsia="仿宋_GB2312"/>
          <w:color w:val="auto"/>
          <w:kern w:val="0"/>
          <w:sz w:val="32"/>
          <w:szCs w:val="32"/>
          <w:u w:val="none"/>
        </w:rPr>
        <w:t>储备肉实行专库（区域）储存、专账记载和挂牌明示，承储企业要确保账账相符、账实相符、质量良好和储存安全。</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hint="eastAsia" w:ascii="仿宋_GB2312" w:eastAsia="仿宋_GB2312"/>
          <w:color w:val="auto"/>
          <w:kern w:val="0"/>
          <w:sz w:val="32"/>
          <w:szCs w:val="32"/>
          <w:u w:val="none"/>
        </w:rPr>
      </w:pPr>
      <w:r>
        <w:rPr>
          <w:rFonts w:hint="eastAsia" w:ascii="仿宋_GB2312" w:eastAsia="仿宋_GB2312"/>
          <w:b/>
          <w:bCs w:val="0"/>
          <w:color w:val="auto"/>
          <w:kern w:val="0"/>
          <w:sz w:val="32"/>
          <w:szCs w:val="32"/>
          <w:u w:val="none"/>
        </w:rPr>
        <w:t>第十二条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rPr>
        <w:t xml:space="preserve"> 储管中心要加强对储备肉的管理，</w:t>
      </w:r>
      <w:r>
        <w:rPr>
          <w:rFonts w:hint="eastAsia" w:ascii="仿宋_GB2312" w:eastAsia="仿宋_GB2312"/>
          <w:color w:val="auto"/>
          <w:kern w:val="0"/>
          <w:sz w:val="32"/>
          <w:szCs w:val="32"/>
          <w:u w:val="none"/>
          <w:lang w:eastAsia="zh-CN"/>
        </w:rPr>
        <w:t>可以采用人员现场检查和远程监控检查</w:t>
      </w:r>
      <w:r>
        <w:rPr>
          <w:rFonts w:hint="eastAsia" w:ascii="仿宋_GB2312" w:eastAsia="仿宋_GB2312"/>
          <w:color w:val="auto"/>
          <w:kern w:val="0"/>
          <w:sz w:val="32"/>
          <w:szCs w:val="32"/>
          <w:u w:val="none"/>
          <w:lang w:val="en-US" w:eastAsia="zh-CN"/>
        </w:rPr>
        <w:t>相</w:t>
      </w:r>
      <w:r>
        <w:rPr>
          <w:rFonts w:hint="eastAsia" w:ascii="仿宋_GB2312" w:eastAsia="仿宋_GB2312"/>
          <w:color w:val="auto"/>
          <w:kern w:val="0"/>
          <w:sz w:val="32"/>
          <w:szCs w:val="32"/>
          <w:u w:val="none"/>
          <w:lang w:eastAsia="zh-CN"/>
        </w:rPr>
        <w:t>结合，确保</w:t>
      </w:r>
      <w:r>
        <w:rPr>
          <w:rFonts w:hint="eastAsia" w:ascii="仿宋_GB2312" w:eastAsia="仿宋_GB2312"/>
          <w:color w:val="auto"/>
          <w:kern w:val="0"/>
          <w:sz w:val="32"/>
          <w:szCs w:val="32"/>
          <w:u w:val="none"/>
        </w:rPr>
        <w:t>特殊情况</w:t>
      </w:r>
      <w:r>
        <w:rPr>
          <w:rFonts w:hint="eastAsia" w:ascii="仿宋_GB2312" w:eastAsia="仿宋_GB2312"/>
          <w:color w:val="auto"/>
          <w:kern w:val="0"/>
          <w:sz w:val="32"/>
          <w:szCs w:val="32"/>
          <w:u w:val="none"/>
          <w:lang w:eastAsia="zh-CN"/>
        </w:rPr>
        <w:t>下对储备肉能实施有效监督管理</w:t>
      </w:r>
      <w:r>
        <w:rPr>
          <w:rFonts w:hint="eastAsia" w:ascii="仿宋_GB2312" w:eastAsia="仿宋_GB2312"/>
          <w:color w:val="auto"/>
          <w:kern w:val="0"/>
          <w:sz w:val="32"/>
          <w:szCs w:val="32"/>
          <w:u w:val="none"/>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color w:val="auto"/>
          <w:kern w:val="0"/>
          <w:sz w:val="32"/>
          <w:szCs w:val="32"/>
          <w:u w:val="none"/>
        </w:rPr>
      </w:pPr>
      <w:r>
        <w:rPr>
          <w:rFonts w:hint="eastAsia" w:ascii="仿宋_GB2312" w:eastAsia="仿宋_GB2312"/>
          <w:b/>
          <w:bCs w:val="0"/>
          <w:color w:val="auto"/>
          <w:kern w:val="0"/>
          <w:sz w:val="32"/>
          <w:szCs w:val="32"/>
          <w:u w:val="none"/>
        </w:rPr>
        <w:t>第十三条</w:t>
      </w:r>
      <w:r>
        <w:rPr>
          <w:rFonts w:hint="eastAsia" w:ascii="仿宋_GB2312" w:eastAsia="仿宋_GB2312"/>
          <w:color w:val="auto"/>
          <w:kern w:val="0"/>
          <w:sz w:val="32"/>
          <w:szCs w:val="32"/>
          <w:u w:val="none"/>
        </w:rPr>
        <w:t xml:space="preserve"> </w:t>
      </w:r>
      <w:r>
        <w:rPr>
          <w:rFonts w:hint="eastAsia" w:ascii="仿宋_GB2312" w:eastAsia="仿宋_GB2312"/>
          <w:color w:val="auto"/>
          <w:kern w:val="0"/>
          <w:sz w:val="32"/>
          <w:szCs w:val="32"/>
          <w:u w:val="none"/>
          <w:lang w:val="en-US" w:eastAsia="zh-CN"/>
        </w:rPr>
        <w:t xml:space="preserve"> </w:t>
      </w:r>
      <w:r>
        <w:rPr>
          <w:rFonts w:hint="eastAsia" w:ascii="仿宋_GB2312" w:eastAsia="仿宋_GB2312"/>
          <w:color w:val="auto"/>
          <w:kern w:val="0"/>
          <w:sz w:val="32"/>
          <w:szCs w:val="32"/>
          <w:u w:val="none"/>
        </w:rPr>
        <w:t>主管单位对储备肉</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的检查内容</w:t>
      </w:r>
      <w:r>
        <w:rPr>
          <w:rFonts w:hint="eastAsia" w:ascii="仿宋_GB2312" w:eastAsia="仿宋_GB2312"/>
          <w:color w:val="auto"/>
          <w:kern w:val="0"/>
          <w:sz w:val="32"/>
          <w:szCs w:val="32"/>
          <w:u w:val="none"/>
          <w:lang w:eastAsia="zh-CN"/>
        </w:rPr>
        <w:t>主要</w:t>
      </w:r>
      <w:r>
        <w:rPr>
          <w:rFonts w:hint="eastAsia" w:ascii="仿宋_GB2312" w:eastAsia="仿宋_GB2312"/>
          <w:color w:val="auto"/>
          <w:kern w:val="0"/>
          <w:sz w:val="32"/>
          <w:szCs w:val="32"/>
          <w:u w:val="none"/>
        </w:rPr>
        <w:t>包括在库储存数量、生产日期、入库时间、储备</w:t>
      </w:r>
      <w:r>
        <w:rPr>
          <w:rFonts w:hint="eastAsia" w:ascii="仿宋_GB2312" w:eastAsia="仿宋_GB2312"/>
          <w:color w:val="auto"/>
          <w:kern w:val="0"/>
          <w:sz w:val="32"/>
          <w:szCs w:val="32"/>
          <w:u w:val="none"/>
          <w:lang w:eastAsia="zh-CN"/>
        </w:rPr>
        <w:t>肉质量</w:t>
      </w:r>
      <w:r>
        <w:rPr>
          <w:rFonts w:hint="eastAsia" w:ascii="仿宋_GB2312" w:eastAsia="仿宋_GB2312"/>
          <w:color w:val="auto"/>
          <w:kern w:val="0"/>
          <w:sz w:val="32"/>
          <w:szCs w:val="32"/>
          <w:u w:val="none"/>
        </w:rPr>
        <w:t>、储备轮换、冷库及设施设备管理情况、储备台账等项目。</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5"/>
        <w:textAlignment w:val="auto"/>
        <w:rPr>
          <w:rFonts w:hint="eastAsia" w:ascii="仿宋_GB2312" w:eastAsia="仿宋_GB2312"/>
          <w:color w:val="auto"/>
          <w:kern w:val="0"/>
          <w:sz w:val="32"/>
          <w:szCs w:val="32"/>
          <w:u w:val="none"/>
          <w:lang w:eastAsia="zh-CN"/>
        </w:rPr>
      </w:pPr>
      <w:r>
        <w:rPr>
          <w:rFonts w:hint="eastAsia" w:ascii="仿宋_GB2312" w:eastAsia="仿宋_GB2312"/>
          <w:b/>
          <w:bCs w:val="0"/>
          <w:color w:val="auto"/>
          <w:kern w:val="0"/>
          <w:sz w:val="32"/>
          <w:szCs w:val="32"/>
          <w:u w:val="none"/>
        </w:rPr>
        <w:t>第十四条</w:t>
      </w:r>
      <w:r>
        <w:rPr>
          <w:rFonts w:hint="eastAsia" w:ascii="仿宋_GB2312" w:eastAsia="仿宋_GB2312"/>
          <w:color w:val="auto"/>
          <w:kern w:val="0"/>
          <w:sz w:val="32"/>
          <w:szCs w:val="32"/>
          <w:u w:val="none"/>
        </w:rPr>
        <w:t xml:space="preserve"> </w:t>
      </w:r>
      <w:r>
        <w:rPr>
          <w:rFonts w:hint="eastAsia" w:ascii="仿宋_GB2312" w:eastAsia="仿宋_GB2312"/>
          <w:color w:val="auto"/>
          <w:kern w:val="0"/>
          <w:sz w:val="32"/>
          <w:szCs w:val="32"/>
          <w:u w:val="none"/>
          <w:lang w:val="en-US" w:eastAsia="zh-CN"/>
        </w:rPr>
        <w:t xml:space="preserve"> </w:t>
      </w:r>
      <w:r>
        <w:rPr>
          <w:rFonts w:hint="eastAsia" w:ascii="仿宋_GB2312" w:eastAsia="仿宋_GB2312"/>
          <w:color w:val="auto"/>
          <w:kern w:val="0"/>
          <w:sz w:val="32"/>
          <w:szCs w:val="32"/>
          <w:u w:val="none"/>
          <w:lang w:eastAsia="zh-CN"/>
        </w:rPr>
        <w:t>储备肉需按品种、生产日期先后分垛规范放置，库区要定时消毒，保持冷库整洁。</w:t>
      </w:r>
      <w:r>
        <w:rPr>
          <w:rFonts w:hint="eastAsia" w:ascii="仿宋_GB2312" w:eastAsia="仿宋_GB2312"/>
          <w:color w:val="auto"/>
          <w:kern w:val="0"/>
          <w:sz w:val="32"/>
          <w:szCs w:val="32"/>
          <w:u w:val="none"/>
        </w:rPr>
        <w:t>在执行储备计划过程中发生变化的，要及时更新</w:t>
      </w:r>
      <w:r>
        <w:rPr>
          <w:rFonts w:hint="eastAsia" w:ascii="仿宋_GB2312" w:eastAsia="仿宋_GB2312"/>
          <w:color w:val="auto"/>
          <w:kern w:val="0"/>
          <w:sz w:val="32"/>
          <w:szCs w:val="32"/>
          <w:u w:val="none"/>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5"/>
        <w:textAlignment w:val="auto"/>
        <w:rPr>
          <w:rFonts w:hint="eastAsia" w:ascii="仿宋_GB2312" w:eastAsia="仿宋_GB2312"/>
          <w:color w:val="auto"/>
          <w:kern w:val="0"/>
          <w:sz w:val="32"/>
          <w:szCs w:val="32"/>
          <w:u w:val="none"/>
        </w:rPr>
      </w:pPr>
      <w:r>
        <w:rPr>
          <w:rFonts w:hint="eastAsia" w:ascii="仿宋_GB2312" w:eastAsia="仿宋_GB2312"/>
          <w:color w:val="auto"/>
          <w:kern w:val="0"/>
          <w:sz w:val="32"/>
          <w:szCs w:val="32"/>
          <w:u w:val="none"/>
        </w:rPr>
        <w:t>（一）具体存放储备肉的冷库库房或者库区前应悬挂标识牌（见附件1）；</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5"/>
        <w:textAlignment w:val="auto"/>
        <w:rPr>
          <w:rFonts w:hint="eastAsia" w:ascii="仿宋_GB2312" w:eastAsia="仿宋_GB2312"/>
          <w:color w:val="auto"/>
          <w:kern w:val="0"/>
          <w:sz w:val="32"/>
          <w:szCs w:val="32"/>
          <w:u w:val="none"/>
        </w:rPr>
      </w:pPr>
      <w:r>
        <w:rPr>
          <w:rFonts w:hint="eastAsia" w:ascii="仿宋_GB2312" w:eastAsia="仿宋_GB2312"/>
          <w:color w:val="auto"/>
          <w:kern w:val="0"/>
          <w:sz w:val="32"/>
          <w:szCs w:val="32"/>
          <w:u w:val="none"/>
          <w:lang w:eastAsia="zh-CN"/>
        </w:rPr>
        <w:t>（二）</w:t>
      </w:r>
      <w:r>
        <w:rPr>
          <w:rFonts w:hint="eastAsia" w:ascii="仿宋_GB2312" w:eastAsia="仿宋_GB2312"/>
          <w:color w:val="auto"/>
          <w:kern w:val="0"/>
          <w:sz w:val="32"/>
          <w:szCs w:val="32"/>
          <w:u w:val="none"/>
        </w:rPr>
        <w:t>储备肉垛前应悬挂标识卡（见附件2），详细注明：品种规格、数量等级、生产厂家、生产日期、入库日期等信息。</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firstLineChars="200"/>
        <w:textAlignment w:val="auto"/>
        <w:rPr>
          <w:rFonts w:hint="eastAsia" w:ascii="仿宋_GB2312" w:eastAsia="仿宋_GB2312"/>
          <w:color w:val="auto"/>
          <w:kern w:val="0"/>
          <w:sz w:val="32"/>
          <w:szCs w:val="32"/>
          <w:u w:val="none"/>
        </w:rPr>
      </w:pP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三</w:t>
      </w:r>
      <w:r>
        <w:rPr>
          <w:rFonts w:hint="eastAsia" w:ascii="仿宋_GB2312" w:eastAsia="仿宋_GB2312"/>
          <w:color w:val="auto"/>
          <w:kern w:val="0"/>
          <w:sz w:val="32"/>
          <w:szCs w:val="32"/>
          <w:u w:val="none"/>
        </w:rPr>
        <w:t>）库存的储备肉应在保质期内，新入库的储备肉保质有效期应在三个月以上。</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5"/>
        <w:textAlignment w:val="auto"/>
        <w:rPr>
          <w:rFonts w:hint="eastAsia" w:ascii="仿宋_GB2312" w:eastAsia="仿宋_GB2312"/>
          <w:color w:val="auto"/>
          <w:kern w:val="0"/>
          <w:sz w:val="32"/>
          <w:szCs w:val="32"/>
          <w:u w:val="none"/>
          <w:lang w:eastAsia="zh-CN"/>
        </w:rPr>
      </w:pPr>
      <w:r>
        <w:rPr>
          <w:rFonts w:hint="eastAsia" w:ascii="仿宋_GB2312" w:eastAsia="仿宋_GB2312"/>
          <w:b/>
          <w:bCs w:val="0"/>
          <w:color w:val="auto"/>
          <w:kern w:val="0"/>
          <w:sz w:val="32"/>
          <w:szCs w:val="32"/>
          <w:u w:val="none"/>
          <w:lang w:eastAsia="zh-CN"/>
        </w:rPr>
        <w:t>第十五条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lang w:val="en-US" w:eastAsia="zh-CN"/>
        </w:rPr>
        <w:t xml:space="preserve"> 储管中心和</w:t>
      </w:r>
      <w:r>
        <w:rPr>
          <w:rFonts w:hint="eastAsia" w:ascii="仿宋_GB2312" w:eastAsia="仿宋_GB2312"/>
          <w:color w:val="auto"/>
          <w:kern w:val="0"/>
          <w:sz w:val="32"/>
          <w:szCs w:val="32"/>
          <w:u w:val="none"/>
          <w:lang w:eastAsia="zh-CN"/>
        </w:rPr>
        <w:t>承储企业须建立建全内部各项管理制度，严格落实储备肉的在库管理：</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firstLineChars="200"/>
        <w:textAlignment w:val="auto"/>
        <w:rPr>
          <w:rFonts w:hint="eastAsia" w:ascii="仿宋_GB2312" w:eastAsia="仿宋_GB2312"/>
          <w:color w:val="auto"/>
          <w:kern w:val="0"/>
          <w:sz w:val="32"/>
          <w:szCs w:val="32"/>
          <w:u w:val="none"/>
          <w:lang w:val="en-US" w:eastAsia="zh-CN"/>
        </w:rPr>
      </w:pPr>
      <w:r>
        <w:rPr>
          <w:rFonts w:hint="eastAsia" w:ascii="仿宋_GB2312" w:eastAsia="仿宋_GB2312"/>
          <w:color w:val="auto"/>
          <w:kern w:val="0"/>
          <w:sz w:val="32"/>
          <w:szCs w:val="32"/>
          <w:u w:val="none"/>
          <w:lang w:eastAsia="zh-CN"/>
        </w:rPr>
        <w:t>（一）</w:t>
      </w:r>
      <w:r>
        <w:rPr>
          <w:rFonts w:hint="eastAsia" w:ascii="仿宋_GB2312" w:eastAsia="仿宋_GB2312"/>
          <w:color w:val="auto"/>
          <w:kern w:val="0"/>
          <w:sz w:val="32"/>
          <w:szCs w:val="32"/>
          <w:u w:val="none"/>
          <w:lang w:val="en-US" w:eastAsia="zh-CN"/>
        </w:rPr>
        <w:t>储管中心应制定具体的考核办法，细化日常管理各个环节流程，确保储备肉数量真实、质量合格；</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firstLineChars="200"/>
        <w:textAlignment w:val="auto"/>
        <w:rPr>
          <w:rFonts w:hint="eastAsia" w:ascii="仿宋_GB2312" w:eastAsia="仿宋_GB2312"/>
          <w:color w:val="auto"/>
          <w:kern w:val="0"/>
          <w:sz w:val="32"/>
          <w:szCs w:val="32"/>
          <w:u w:val="none"/>
          <w:lang w:val="en-US" w:eastAsia="zh-CN"/>
        </w:rPr>
      </w:pPr>
      <w:r>
        <w:rPr>
          <w:rFonts w:hint="eastAsia" w:ascii="仿宋_GB2312" w:eastAsia="仿宋_GB2312"/>
          <w:color w:val="auto"/>
          <w:kern w:val="0"/>
          <w:sz w:val="32"/>
          <w:szCs w:val="32"/>
          <w:u w:val="none"/>
          <w:lang w:val="en-US" w:eastAsia="zh-CN"/>
        </w:rPr>
        <w:t>（二）储管中心应加强储备肉的日常管理，发现问题及时解决，重大问题及时上报主管单位；</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textAlignment w:val="auto"/>
        <w:rPr>
          <w:rFonts w:ascii="仿宋_GB2312" w:eastAsia="仿宋_GB2312"/>
          <w:color w:val="auto"/>
          <w:kern w:val="0"/>
          <w:sz w:val="32"/>
          <w:szCs w:val="32"/>
          <w:u w:val="none"/>
        </w:rPr>
      </w:pPr>
      <w:r>
        <w:rPr>
          <w:rFonts w:hint="eastAsia" w:ascii="仿宋_GB2312" w:eastAsia="仿宋_GB2312"/>
          <w:bCs/>
          <w:color w:val="auto"/>
          <w:kern w:val="0"/>
          <w:sz w:val="32"/>
          <w:szCs w:val="32"/>
          <w:u w:val="none"/>
        </w:rPr>
        <w:t xml:space="preserve">   </w:t>
      </w:r>
      <w:r>
        <w:rPr>
          <w:rFonts w:hint="eastAsia" w:ascii="仿宋_GB2312" w:eastAsia="仿宋_GB2312"/>
          <w:bCs/>
          <w:color w:val="auto"/>
          <w:kern w:val="0"/>
          <w:sz w:val="32"/>
          <w:szCs w:val="32"/>
          <w:u w:val="none"/>
          <w:lang w:val="en-US" w:eastAsia="zh-CN"/>
        </w:rPr>
        <w:t xml:space="preserve"> </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三</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应建立健全储备管理制度和应急</w:t>
      </w:r>
      <w:r>
        <w:rPr>
          <w:rFonts w:hint="eastAsia" w:ascii="仿宋_GB2312" w:eastAsia="仿宋_GB2312"/>
          <w:color w:val="auto"/>
          <w:kern w:val="0"/>
          <w:sz w:val="32"/>
          <w:szCs w:val="32"/>
          <w:u w:val="none"/>
          <w:lang w:eastAsia="zh-CN"/>
        </w:rPr>
        <w:t>投放</w:t>
      </w:r>
      <w:r>
        <w:rPr>
          <w:rFonts w:hint="eastAsia" w:ascii="仿宋_GB2312" w:eastAsia="仿宋_GB2312"/>
          <w:color w:val="auto"/>
          <w:kern w:val="0"/>
          <w:sz w:val="32"/>
          <w:szCs w:val="32"/>
          <w:u w:val="none"/>
        </w:rPr>
        <w:t>工作机制；严格遵守《中华人民共和国产品质量法》、《中华人民共和国食品安全法》等法律法规规定，对储存</w:t>
      </w:r>
      <w:r>
        <w:rPr>
          <w:rFonts w:hint="eastAsia" w:ascii="仿宋_GB2312" w:eastAsia="仿宋_GB2312"/>
          <w:color w:val="auto"/>
          <w:kern w:val="0"/>
          <w:sz w:val="32"/>
          <w:szCs w:val="32"/>
          <w:u w:val="none"/>
          <w:lang w:eastAsia="zh-CN"/>
        </w:rPr>
        <w:t>冻猪肉</w:t>
      </w:r>
      <w:r>
        <w:rPr>
          <w:rFonts w:hint="eastAsia" w:ascii="仿宋_GB2312" w:eastAsia="仿宋_GB2312"/>
          <w:color w:val="auto"/>
          <w:kern w:val="0"/>
          <w:sz w:val="32"/>
          <w:szCs w:val="32"/>
          <w:u w:val="none"/>
        </w:rPr>
        <w:t>质量负责，确保储备质量安全。</w:t>
      </w:r>
      <w:r>
        <w:rPr>
          <w:rFonts w:hint="eastAsia" w:ascii="仿宋_GB2312" w:eastAsia="仿宋_GB2312"/>
          <w:color w:val="auto"/>
          <w:kern w:val="0"/>
          <w:sz w:val="32"/>
          <w:szCs w:val="32"/>
          <w:u w:val="none"/>
          <w:lang w:eastAsia="zh-CN"/>
        </w:rPr>
        <w:t>承储企业需每月清点储备肉数量和检查质量等情况，并</w:t>
      </w:r>
      <w:r>
        <w:rPr>
          <w:rFonts w:hint="eastAsia" w:ascii="仿宋_GB2312" w:eastAsia="仿宋_GB2312"/>
          <w:color w:val="auto"/>
          <w:kern w:val="0"/>
          <w:sz w:val="32"/>
          <w:szCs w:val="32"/>
          <w:u w:val="none"/>
        </w:rPr>
        <w:t>于月度结束后7日内向主管单位报送购销、库存等信息月报表（见附件3）；</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firstLineChars="20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四</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因撤销解散或进入破产程序以及拆迁改建、生产调整、灾害疫病等原因无法承担或无法足额承担储备计划的，应提前书面报告储管中心和主管单位。</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color w:val="auto"/>
          <w:kern w:val="0"/>
          <w:sz w:val="32"/>
          <w:szCs w:val="32"/>
          <w:u w:val="none"/>
        </w:rPr>
      </w:pPr>
      <w:r>
        <w:rPr>
          <w:rFonts w:hint="eastAsia" w:ascii="仿宋_GB2312" w:eastAsia="仿宋_GB2312"/>
          <w:b/>
          <w:bCs w:val="0"/>
          <w:color w:val="auto"/>
          <w:kern w:val="0"/>
          <w:sz w:val="32"/>
          <w:szCs w:val="32"/>
          <w:u w:val="none"/>
        </w:rPr>
        <w:t>第十</w:t>
      </w:r>
      <w:r>
        <w:rPr>
          <w:rFonts w:hint="eastAsia" w:ascii="仿宋_GB2312" w:eastAsia="仿宋_GB2312"/>
          <w:b/>
          <w:bCs w:val="0"/>
          <w:color w:val="auto"/>
          <w:kern w:val="0"/>
          <w:sz w:val="32"/>
          <w:szCs w:val="32"/>
          <w:u w:val="none"/>
          <w:lang w:eastAsia="zh-CN"/>
        </w:rPr>
        <w:t>六</w:t>
      </w:r>
      <w:r>
        <w:rPr>
          <w:rFonts w:hint="eastAsia" w:ascii="仿宋_GB2312" w:eastAsia="仿宋_GB2312"/>
          <w:b/>
          <w:bCs w:val="0"/>
          <w:color w:val="auto"/>
          <w:kern w:val="0"/>
          <w:sz w:val="32"/>
          <w:szCs w:val="32"/>
          <w:u w:val="none"/>
        </w:rPr>
        <w:t>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bCs/>
          <w:color w:val="auto"/>
          <w:kern w:val="0"/>
          <w:sz w:val="32"/>
          <w:szCs w:val="32"/>
          <w:u w:val="none"/>
        </w:rPr>
        <w:t xml:space="preserve"> </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应按承储协议规定时间落实储备肉收储计划，未经主管单位书面同意，不得调整更改计划或拒绝、拖延执行。</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ascii="黑体" w:hAnsi="黑体" w:eastAsia="黑体"/>
          <w:bCs/>
          <w:color w:val="auto"/>
          <w:kern w:val="0"/>
          <w:sz w:val="32"/>
          <w:szCs w:val="32"/>
          <w:u w:val="none"/>
        </w:rPr>
      </w:pPr>
      <w:r>
        <w:rPr>
          <w:rFonts w:hint="eastAsia" w:ascii="仿宋_GB2312" w:eastAsia="仿宋_GB2312"/>
          <w:b/>
          <w:bCs w:val="0"/>
          <w:color w:val="auto"/>
          <w:kern w:val="0"/>
          <w:sz w:val="32"/>
          <w:szCs w:val="32"/>
          <w:u w:val="none"/>
        </w:rPr>
        <w:t>第十</w:t>
      </w:r>
      <w:r>
        <w:rPr>
          <w:rFonts w:hint="eastAsia" w:ascii="仿宋_GB2312" w:eastAsia="仿宋_GB2312"/>
          <w:b/>
          <w:bCs w:val="0"/>
          <w:color w:val="auto"/>
          <w:kern w:val="0"/>
          <w:sz w:val="32"/>
          <w:szCs w:val="32"/>
          <w:u w:val="none"/>
          <w:lang w:eastAsia="zh-CN"/>
        </w:rPr>
        <w:t>七</w:t>
      </w:r>
      <w:r>
        <w:rPr>
          <w:rFonts w:hint="eastAsia" w:ascii="仿宋_GB2312" w:eastAsia="仿宋_GB2312"/>
          <w:b/>
          <w:bCs w:val="0"/>
          <w:color w:val="auto"/>
          <w:kern w:val="0"/>
          <w:sz w:val="32"/>
          <w:szCs w:val="32"/>
          <w:u w:val="none"/>
        </w:rPr>
        <w:t>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bCs/>
          <w:color w:val="auto"/>
          <w:kern w:val="0"/>
          <w:sz w:val="32"/>
          <w:szCs w:val="32"/>
          <w:u w:val="none"/>
        </w:rPr>
        <w:t xml:space="preserve"> </w:t>
      </w:r>
      <w:r>
        <w:rPr>
          <w:rFonts w:hint="eastAsia" w:ascii="仿宋_GB2312" w:eastAsia="仿宋_GB2312"/>
          <w:color w:val="auto"/>
          <w:kern w:val="0"/>
          <w:sz w:val="32"/>
          <w:szCs w:val="32"/>
          <w:u w:val="none"/>
        </w:rPr>
        <w:t>任何单位、企业和个人不得以储备肉对外进行质押、担保或者清偿债务。</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hint="eastAsia" w:ascii="黑体" w:hAnsi="黑体" w:eastAsia="黑体"/>
          <w:bCs/>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ascii="黑体" w:hAnsi="黑体" w:eastAsia="黑体"/>
          <w:bCs/>
          <w:color w:val="auto"/>
          <w:kern w:val="0"/>
          <w:sz w:val="32"/>
          <w:szCs w:val="32"/>
          <w:u w:val="none"/>
        </w:rPr>
      </w:pPr>
      <w:r>
        <w:rPr>
          <w:rFonts w:hint="eastAsia" w:ascii="黑体" w:hAnsi="黑体" w:eastAsia="黑体"/>
          <w:bCs/>
          <w:color w:val="auto"/>
          <w:kern w:val="0"/>
          <w:sz w:val="32"/>
          <w:szCs w:val="32"/>
          <w:u w:val="none"/>
        </w:rPr>
        <w:t>第六章 出库</w:t>
      </w:r>
      <w:r>
        <w:rPr>
          <w:rFonts w:hint="eastAsia" w:ascii="黑体" w:hAnsi="黑体" w:eastAsia="黑体"/>
          <w:bCs/>
          <w:color w:val="auto"/>
          <w:kern w:val="0"/>
          <w:sz w:val="32"/>
          <w:szCs w:val="32"/>
          <w:u w:val="none"/>
          <w:lang w:eastAsia="zh-CN"/>
        </w:rPr>
        <w:t>动用</w:t>
      </w:r>
      <w:r>
        <w:rPr>
          <w:rFonts w:hint="eastAsia" w:ascii="黑体" w:hAnsi="黑体" w:eastAsia="黑体"/>
          <w:bCs/>
          <w:color w:val="auto"/>
          <w:kern w:val="0"/>
          <w:sz w:val="32"/>
          <w:szCs w:val="32"/>
          <w:u w:val="none"/>
        </w:rPr>
        <w:t>和管理</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textAlignment w:val="auto"/>
        <w:rPr>
          <w:rFonts w:ascii="仿宋_GB2312" w:eastAsia="仿宋_GB2312"/>
          <w:bCs/>
          <w:color w:val="auto"/>
          <w:kern w:val="0"/>
          <w:sz w:val="32"/>
          <w:szCs w:val="32"/>
          <w:u w:val="none"/>
        </w:rPr>
      </w:pPr>
      <w:r>
        <w:rPr>
          <w:rFonts w:hint="eastAsia" w:ascii="仿宋_GB2312" w:eastAsia="仿宋_GB2312"/>
          <w:color w:val="auto"/>
          <w:kern w:val="0"/>
          <w:sz w:val="32"/>
          <w:szCs w:val="32"/>
          <w:u w:val="none"/>
        </w:rPr>
        <w:t xml:space="preserve">   </w:t>
      </w:r>
      <w:r>
        <w:rPr>
          <w:rFonts w:hint="eastAsia" w:ascii="仿宋_GB2312" w:eastAsia="仿宋_GB2312"/>
          <w:b/>
          <w:bCs w:val="0"/>
          <w:color w:val="auto"/>
          <w:kern w:val="0"/>
          <w:sz w:val="32"/>
          <w:szCs w:val="32"/>
          <w:u w:val="none"/>
        </w:rPr>
        <w:t xml:space="preserve"> 第十</w:t>
      </w:r>
      <w:r>
        <w:rPr>
          <w:rFonts w:hint="eastAsia" w:ascii="仿宋_GB2312" w:eastAsia="仿宋_GB2312"/>
          <w:b/>
          <w:bCs w:val="0"/>
          <w:color w:val="auto"/>
          <w:kern w:val="0"/>
          <w:sz w:val="32"/>
          <w:szCs w:val="32"/>
          <w:u w:val="none"/>
          <w:lang w:eastAsia="zh-CN"/>
        </w:rPr>
        <w:t>八</w:t>
      </w:r>
      <w:r>
        <w:rPr>
          <w:rFonts w:hint="eastAsia" w:ascii="仿宋_GB2312" w:eastAsia="仿宋_GB2312"/>
          <w:b/>
          <w:bCs w:val="0"/>
          <w:color w:val="auto"/>
          <w:kern w:val="0"/>
          <w:sz w:val="32"/>
          <w:szCs w:val="32"/>
          <w:u w:val="none"/>
        </w:rPr>
        <w:t>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rPr>
        <w:t xml:space="preserve"> 储备肉由</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按规定在保质期内自行组织轮换，储备轮出后应当及时、保质、等量轮入，轮换期间最低库存数量不得低于储备计划的70％，轮</w:t>
      </w:r>
      <w:r>
        <w:rPr>
          <w:rFonts w:hint="eastAsia" w:ascii="仿宋_GB2312" w:eastAsia="仿宋_GB2312"/>
          <w:color w:val="auto"/>
          <w:kern w:val="0"/>
          <w:sz w:val="32"/>
          <w:szCs w:val="32"/>
          <w:u w:val="none"/>
          <w:lang w:eastAsia="zh-CN"/>
        </w:rPr>
        <w:t>空</w:t>
      </w:r>
      <w:r>
        <w:rPr>
          <w:rFonts w:hint="eastAsia" w:ascii="仿宋_GB2312" w:eastAsia="仿宋_GB2312"/>
          <w:color w:val="auto"/>
          <w:kern w:val="0"/>
          <w:sz w:val="32"/>
          <w:szCs w:val="32"/>
          <w:u w:val="none"/>
        </w:rPr>
        <w:t>时间不得超过30日。特殊情况不能按时轮入的，须报主管单位批准同意，否则按擅自动用储备处理。</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rPr>
      </w:pPr>
      <w:r>
        <w:rPr>
          <w:rFonts w:hint="eastAsia" w:ascii="仿宋_GB2312" w:eastAsia="仿宋_GB2312"/>
          <w:b/>
          <w:bCs w:val="0"/>
          <w:color w:val="auto"/>
          <w:kern w:val="0"/>
          <w:sz w:val="32"/>
          <w:szCs w:val="32"/>
          <w:u w:val="none"/>
        </w:rPr>
        <w:t>第十</w:t>
      </w:r>
      <w:r>
        <w:rPr>
          <w:rFonts w:hint="eastAsia" w:ascii="仿宋_GB2312" w:eastAsia="仿宋_GB2312"/>
          <w:b/>
          <w:bCs w:val="0"/>
          <w:color w:val="auto"/>
          <w:kern w:val="0"/>
          <w:sz w:val="32"/>
          <w:szCs w:val="32"/>
          <w:u w:val="none"/>
          <w:lang w:eastAsia="zh-CN"/>
        </w:rPr>
        <w:t>九</w:t>
      </w:r>
      <w:r>
        <w:rPr>
          <w:rFonts w:hint="eastAsia" w:ascii="仿宋_GB2312" w:eastAsia="仿宋_GB2312"/>
          <w:b/>
          <w:bCs w:val="0"/>
          <w:color w:val="auto"/>
          <w:kern w:val="0"/>
          <w:sz w:val="32"/>
          <w:szCs w:val="32"/>
          <w:u w:val="none"/>
        </w:rPr>
        <w:t>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rPr>
        <w:t xml:space="preserve"> 根据市政府或者市发改委下达的指令，由主管单位提出储备肉</w:t>
      </w:r>
      <w:r>
        <w:rPr>
          <w:rFonts w:hint="eastAsia" w:ascii="仿宋_GB2312" w:eastAsia="仿宋_GB2312"/>
          <w:color w:val="auto"/>
          <w:kern w:val="0"/>
          <w:sz w:val="32"/>
          <w:szCs w:val="32"/>
          <w:u w:val="none"/>
          <w:lang w:eastAsia="zh-CN"/>
        </w:rPr>
        <w:t>投放</w:t>
      </w:r>
      <w:r>
        <w:rPr>
          <w:rFonts w:hint="eastAsia" w:ascii="仿宋_GB2312" w:eastAsia="仿宋_GB2312"/>
          <w:color w:val="auto"/>
          <w:kern w:val="0"/>
          <w:sz w:val="32"/>
          <w:szCs w:val="32"/>
          <w:u w:val="none"/>
        </w:rPr>
        <w:t>计划，储管中心负责具体实施。</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要根据指令积极配合，按要求及时、高效地完成应急</w:t>
      </w:r>
      <w:r>
        <w:rPr>
          <w:rFonts w:hint="eastAsia" w:ascii="仿宋_GB2312" w:eastAsia="仿宋_GB2312"/>
          <w:color w:val="auto"/>
          <w:kern w:val="0"/>
          <w:sz w:val="32"/>
          <w:szCs w:val="32"/>
          <w:u w:val="none"/>
          <w:lang w:eastAsia="zh-CN"/>
        </w:rPr>
        <w:t>投放</w:t>
      </w:r>
      <w:r>
        <w:rPr>
          <w:rFonts w:hint="eastAsia" w:ascii="仿宋_GB2312" w:eastAsia="仿宋_GB2312"/>
          <w:color w:val="auto"/>
          <w:kern w:val="0"/>
          <w:sz w:val="32"/>
          <w:szCs w:val="32"/>
          <w:u w:val="none"/>
        </w:rPr>
        <w:t>工作。具体要</w:t>
      </w:r>
      <w:r>
        <w:rPr>
          <w:rFonts w:hint="eastAsia" w:ascii="仿宋_GB2312" w:eastAsia="仿宋_GB2312"/>
          <w:color w:val="auto"/>
          <w:kern w:val="0"/>
          <w:sz w:val="32"/>
          <w:szCs w:val="32"/>
          <w:u w:val="none"/>
          <w:lang w:eastAsia="zh-CN"/>
        </w:rPr>
        <w:t>求</w:t>
      </w:r>
      <w:r>
        <w:rPr>
          <w:rFonts w:hint="eastAsia" w:ascii="仿宋_GB2312" w:eastAsia="仿宋_GB2312"/>
          <w:color w:val="auto"/>
          <w:kern w:val="0"/>
          <w:sz w:val="32"/>
          <w:szCs w:val="32"/>
          <w:u w:val="none"/>
        </w:rPr>
        <w:t>和相关规定按照《温州市市级</w:t>
      </w:r>
      <w:r>
        <w:rPr>
          <w:rFonts w:hint="eastAsia" w:ascii="仿宋_GB2312" w:eastAsia="仿宋_GB2312"/>
          <w:color w:val="auto"/>
          <w:kern w:val="0"/>
          <w:sz w:val="32"/>
          <w:szCs w:val="32"/>
          <w:u w:val="none"/>
          <w:lang w:eastAsia="zh-CN"/>
        </w:rPr>
        <w:t>冻</w:t>
      </w:r>
      <w:r>
        <w:rPr>
          <w:rFonts w:hint="eastAsia" w:ascii="仿宋_GB2312" w:eastAsia="仿宋_GB2312"/>
          <w:color w:val="auto"/>
          <w:kern w:val="0"/>
          <w:sz w:val="32"/>
          <w:szCs w:val="32"/>
          <w:u w:val="none"/>
        </w:rPr>
        <w:t>猪肉储备投放工作暂行办法》的执行。</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rPr>
      </w:pPr>
    </w:p>
    <w:p>
      <w:pPr>
        <w:keepNext w:val="0"/>
        <w:keepLines w:val="0"/>
        <w:pageBreakBefore w:val="0"/>
        <w:kinsoku/>
        <w:wordWrap/>
        <w:overflowPunct/>
        <w:topLinePunct w:val="0"/>
        <w:autoSpaceDE/>
        <w:autoSpaceDN/>
        <w:bidi w:val="0"/>
        <w:spacing w:line="53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第七章 </w:t>
      </w:r>
      <w:r>
        <w:rPr>
          <w:rFonts w:hint="eastAsia" w:ascii="黑体" w:hAnsi="黑体" w:eastAsia="黑体" w:cs="黑体"/>
          <w:sz w:val="32"/>
          <w:szCs w:val="32"/>
        </w:rPr>
        <w:t>监督检查</w:t>
      </w:r>
    </w:p>
    <w:p>
      <w:pPr>
        <w:keepNext w:val="0"/>
        <w:keepLines w:val="0"/>
        <w:pageBreakBefore w:val="0"/>
        <w:kinsoku/>
        <w:wordWrap/>
        <w:overflowPunct/>
        <w:topLinePunct w:val="0"/>
        <w:autoSpaceDE/>
        <w:autoSpaceDN/>
        <w:bidi w:val="0"/>
        <w:spacing w:line="530" w:lineRule="exact"/>
        <w:ind w:firstLine="643" w:firstLineChars="200"/>
        <w:textAlignment w:val="auto"/>
        <w:rPr>
          <w:rFonts w:hint="eastAsia" w:ascii="仿宋_GB2312" w:eastAsia="仿宋_GB2312"/>
          <w:color w:val="auto"/>
          <w:kern w:val="0"/>
          <w:sz w:val="32"/>
          <w:szCs w:val="32"/>
          <w:u w:val="none"/>
          <w:lang w:eastAsia="zh-CN"/>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主</w:t>
      </w:r>
      <w:r>
        <w:rPr>
          <w:rFonts w:hint="eastAsia" w:ascii="仿宋_GB2312" w:hAnsi="仿宋_GB2312" w:eastAsia="仿宋_GB2312" w:cs="仿宋_GB2312"/>
          <w:color w:val="auto"/>
          <w:kern w:val="0"/>
          <w:sz w:val="32"/>
          <w:szCs w:val="32"/>
          <w:u w:val="none"/>
          <w:lang w:eastAsia="zh-CN"/>
        </w:rPr>
        <w:t>管单位</w:t>
      </w:r>
      <w:r>
        <w:rPr>
          <w:rFonts w:hint="eastAsia" w:ascii="仿宋_GB2312" w:hAnsi="仿宋_GB2312" w:eastAsia="仿宋_GB2312" w:cs="仿宋_GB2312"/>
          <w:color w:val="auto"/>
          <w:kern w:val="0"/>
          <w:sz w:val="32"/>
          <w:szCs w:val="32"/>
          <w:u w:val="none"/>
        </w:rPr>
        <w:t>每年</w:t>
      </w:r>
      <w:r>
        <w:rPr>
          <w:rFonts w:hint="eastAsia" w:ascii="仿宋_GB2312" w:hAnsi="仿宋_GB2312" w:eastAsia="仿宋_GB2312" w:cs="仿宋_GB2312"/>
          <w:color w:val="auto"/>
          <w:kern w:val="0"/>
          <w:sz w:val="32"/>
          <w:szCs w:val="32"/>
          <w:u w:val="none"/>
          <w:lang w:eastAsia="zh-CN"/>
        </w:rPr>
        <w:t>现场督查</w:t>
      </w:r>
      <w:r>
        <w:rPr>
          <w:rFonts w:hint="eastAsia" w:ascii="仿宋_GB2312" w:hAnsi="仿宋_GB2312" w:eastAsia="仿宋_GB2312" w:cs="仿宋_GB2312"/>
          <w:color w:val="auto"/>
          <w:kern w:val="0"/>
          <w:sz w:val="32"/>
          <w:szCs w:val="32"/>
          <w:u w:val="none"/>
        </w:rPr>
        <w:t>不少于</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rPr>
        <w:t>次，</w:t>
      </w:r>
      <w:r>
        <w:rPr>
          <w:rFonts w:hint="eastAsia" w:ascii="仿宋_GB2312" w:hAnsi="仿宋_GB2312" w:eastAsia="仿宋_GB2312" w:cs="仿宋_GB2312"/>
          <w:color w:val="auto"/>
          <w:kern w:val="0"/>
          <w:sz w:val="32"/>
          <w:szCs w:val="32"/>
          <w:u w:val="none"/>
          <w:lang w:eastAsia="zh-CN"/>
        </w:rPr>
        <w:t>储管中心</w:t>
      </w:r>
      <w:r>
        <w:rPr>
          <w:rFonts w:hint="eastAsia" w:ascii="仿宋_GB2312" w:hAnsi="仿宋_GB2312" w:eastAsia="仿宋_GB2312" w:cs="仿宋_GB2312"/>
          <w:color w:val="auto"/>
          <w:kern w:val="0"/>
          <w:sz w:val="32"/>
          <w:szCs w:val="32"/>
          <w:u w:val="none"/>
        </w:rPr>
        <w:t>现场每年检查不少于2次，</w:t>
      </w:r>
      <w:r>
        <w:rPr>
          <w:rFonts w:hint="eastAsia" w:ascii="仿宋_GB2312" w:hAnsi="仿宋_GB2312" w:eastAsia="仿宋_GB2312" w:cs="仿宋_GB2312"/>
          <w:color w:val="auto"/>
          <w:kern w:val="0"/>
          <w:sz w:val="32"/>
          <w:szCs w:val="32"/>
          <w:u w:val="none"/>
          <w:lang w:eastAsia="zh-CN"/>
        </w:rPr>
        <w:t>并要做好登记，</w:t>
      </w:r>
      <w:r>
        <w:rPr>
          <w:rFonts w:hint="eastAsia" w:ascii="仿宋_GB2312" w:hAnsi="仿宋_GB2312" w:eastAsia="仿宋_GB2312" w:cs="仿宋_GB2312"/>
          <w:color w:val="auto"/>
          <w:kern w:val="0"/>
          <w:sz w:val="32"/>
          <w:szCs w:val="32"/>
          <w:u w:val="none"/>
        </w:rPr>
        <w:t>特殊情况除外</w:t>
      </w:r>
      <w:r>
        <w:rPr>
          <w:rFonts w:hint="eastAsia" w:ascii="仿宋_GB2312" w:hAnsi="仿宋_GB2312" w:eastAsia="仿宋_GB2312" w:cs="仿宋_GB2312"/>
          <w:color w:val="auto"/>
          <w:kern w:val="0"/>
          <w:sz w:val="32"/>
          <w:szCs w:val="32"/>
          <w:u w:val="none"/>
          <w:lang w:val="en-US" w:eastAsia="zh-CN"/>
        </w:rPr>
        <w:t>。必</w:t>
      </w:r>
      <w:r>
        <w:rPr>
          <w:rFonts w:hint="eastAsia" w:ascii="仿宋_GB2312" w:eastAsia="仿宋_GB2312"/>
          <w:color w:val="auto"/>
          <w:kern w:val="0"/>
          <w:sz w:val="32"/>
          <w:szCs w:val="32"/>
          <w:u w:val="none"/>
          <w:lang w:val="en-US" w:eastAsia="zh-CN"/>
        </w:rPr>
        <w:t>要时可以聘请有关专业机构进行质量和安全等相关的检测。</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color w:val="auto"/>
          <w:kern w:val="0"/>
          <w:sz w:val="32"/>
          <w:szCs w:val="32"/>
          <w:u w:val="none"/>
        </w:rPr>
      </w:pPr>
      <w:r>
        <w:rPr>
          <w:rFonts w:hint="eastAsia" w:ascii="仿宋_GB2312" w:eastAsia="仿宋_GB2312"/>
          <w:b/>
          <w:bCs w:val="0"/>
          <w:color w:val="auto"/>
          <w:kern w:val="0"/>
          <w:sz w:val="32"/>
          <w:szCs w:val="32"/>
          <w:u w:val="none"/>
        </w:rPr>
        <w:t>第</w:t>
      </w:r>
      <w:r>
        <w:rPr>
          <w:rFonts w:hint="eastAsia" w:ascii="仿宋_GB2312" w:eastAsia="仿宋_GB2312"/>
          <w:b/>
          <w:bCs w:val="0"/>
          <w:color w:val="auto"/>
          <w:kern w:val="0"/>
          <w:sz w:val="32"/>
          <w:szCs w:val="32"/>
          <w:u w:val="none"/>
          <w:lang w:eastAsia="zh-CN"/>
        </w:rPr>
        <w:t>二十一</w:t>
      </w:r>
      <w:r>
        <w:rPr>
          <w:rFonts w:hint="eastAsia" w:ascii="仿宋_GB2312" w:eastAsia="仿宋_GB2312"/>
          <w:b/>
          <w:bCs w:val="0"/>
          <w:color w:val="auto"/>
          <w:kern w:val="0"/>
          <w:sz w:val="32"/>
          <w:szCs w:val="32"/>
          <w:u w:val="none"/>
        </w:rPr>
        <w:t>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bCs/>
          <w:color w:val="auto"/>
          <w:kern w:val="0"/>
          <w:sz w:val="32"/>
          <w:szCs w:val="32"/>
          <w:u w:val="none"/>
        </w:rPr>
        <w:t xml:space="preserve"> </w:t>
      </w:r>
      <w:r>
        <w:rPr>
          <w:rFonts w:hint="eastAsia" w:ascii="仿宋_GB2312" w:eastAsia="仿宋_GB2312"/>
          <w:color w:val="auto"/>
          <w:kern w:val="0"/>
          <w:sz w:val="32"/>
          <w:szCs w:val="32"/>
          <w:u w:val="none"/>
        </w:rPr>
        <w:t>储备肉</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违反本</w:t>
      </w:r>
      <w:r>
        <w:rPr>
          <w:rFonts w:hint="eastAsia" w:ascii="仿宋_GB2312" w:eastAsia="仿宋_GB2312"/>
          <w:color w:val="auto"/>
          <w:kern w:val="0"/>
          <w:sz w:val="32"/>
          <w:szCs w:val="32"/>
          <w:u w:val="none"/>
          <w:lang w:eastAsia="zh-CN"/>
        </w:rPr>
        <w:t>办法</w:t>
      </w:r>
      <w:r>
        <w:rPr>
          <w:rFonts w:hint="eastAsia" w:ascii="仿宋_GB2312" w:eastAsia="仿宋_GB2312"/>
          <w:color w:val="auto"/>
          <w:kern w:val="0"/>
          <w:sz w:val="32"/>
          <w:szCs w:val="32"/>
          <w:u w:val="none"/>
        </w:rPr>
        <w:t>规定的，由主管单位</w:t>
      </w:r>
      <w:r>
        <w:rPr>
          <w:rFonts w:hint="eastAsia" w:ascii="仿宋_GB2312" w:eastAsia="仿宋_GB2312"/>
          <w:color w:val="auto"/>
          <w:kern w:val="0"/>
          <w:sz w:val="32"/>
          <w:szCs w:val="32"/>
          <w:u w:val="none"/>
          <w:lang w:eastAsia="zh-CN"/>
        </w:rPr>
        <w:t>或储管中心</w:t>
      </w:r>
      <w:r>
        <w:rPr>
          <w:rFonts w:hint="eastAsia" w:ascii="仿宋_GB2312" w:eastAsia="仿宋_GB2312"/>
          <w:color w:val="auto"/>
          <w:kern w:val="0"/>
          <w:sz w:val="32"/>
          <w:szCs w:val="32"/>
          <w:u w:val="none"/>
        </w:rPr>
        <w:t>通报批评，并责令其限期整改；发生以下情形的，主管单位</w:t>
      </w:r>
      <w:r>
        <w:rPr>
          <w:rFonts w:hint="eastAsia" w:ascii="仿宋_GB2312" w:eastAsia="仿宋_GB2312"/>
          <w:color w:val="auto"/>
          <w:kern w:val="0"/>
          <w:sz w:val="32"/>
          <w:szCs w:val="32"/>
          <w:u w:val="none"/>
          <w:lang w:eastAsia="zh-CN"/>
        </w:rPr>
        <w:t>或储管中心</w:t>
      </w:r>
      <w:r>
        <w:rPr>
          <w:rFonts w:hint="eastAsia" w:ascii="仿宋_GB2312" w:eastAsia="仿宋_GB2312"/>
          <w:color w:val="auto"/>
          <w:kern w:val="0"/>
          <w:sz w:val="32"/>
          <w:szCs w:val="32"/>
          <w:u w:val="none"/>
        </w:rPr>
        <w:t xml:space="preserve">可扣减储备补贴、终止承储协议、取消承储资格；发现违反相关法律法规的，移交农业农村、市场监管、海关等部门处理；涉嫌犯罪的，依法移交司法机关追究刑事责任： </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 xml:space="preserve">（一）承储条件发生重大变化，或出现连续亏损，不能正常生产经营，无法继续承担储备任务的； </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（二）不执行储备</w:t>
      </w:r>
      <w:r>
        <w:rPr>
          <w:rFonts w:hint="eastAsia" w:ascii="仿宋_GB2312" w:eastAsia="仿宋_GB2312"/>
          <w:color w:val="auto"/>
          <w:kern w:val="0"/>
          <w:sz w:val="32"/>
          <w:szCs w:val="32"/>
          <w:u w:val="none"/>
          <w:lang w:eastAsia="zh-CN"/>
        </w:rPr>
        <w:t>投放</w:t>
      </w:r>
      <w:r>
        <w:rPr>
          <w:rFonts w:hint="eastAsia" w:ascii="仿宋_GB2312" w:eastAsia="仿宋_GB2312"/>
          <w:color w:val="auto"/>
          <w:kern w:val="0"/>
          <w:sz w:val="32"/>
          <w:szCs w:val="32"/>
          <w:u w:val="none"/>
        </w:rPr>
        <w:t>指令或执行不力、延误时机、造成严重后果的；</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（三）在承储期内弄虚作假、</w:t>
      </w:r>
      <w:r>
        <w:rPr>
          <w:rFonts w:hint="eastAsia" w:ascii="仿宋_GB2312" w:eastAsia="仿宋_GB2312"/>
          <w:color w:val="auto"/>
          <w:kern w:val="0"/>
          <w:sz w:val="32"/>
          <w:szCs w:val="32"/>
          <w:u w:val="none"/>
          <w:lang w:eastAsia="zh-CN"/>
        </w:rPr>
        <w:t>账</w:t>
      </w:r>
      <w:r>
        <w:rPr>
          <w:rFonts w:hint="eastAsia" w:ascii="仿宋_GB2312" w:eastAsia="仿宋_GB2312"/>
          <w:color w:val="auto"/>
          <w:kern w:val="0"/>
          <w:sz w:val="32"/>
          <w:szCs w:val="32"/>
          <w:u w:val="none"/>
        </w:rPr>
        <w:t>实不符，不配合检查的；</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（四）承储期内储备品种、数量、质量、储存库点与承储协议不符的；</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（五）未经主管单位同意，擅自轮库出售、动用储备肉的；</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（六）擅自将储备肉对外担保或清偿债务的；</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（七）违反本细则和承储协议约定的其它相关义务的</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color w:val="auto"/>
          <w:kern w:val="0"/>
          <w:sz w:val="32"/>
          <w:szCs w:val="32"/>
          <w:u w:val="none"/>
        </w:rPr>
      </w:pPr>
      <w:r>
        <w:rPr>
          <w:rFonts w:hint="eastAsia" w:ascii="仿宋_GB2312" w:eastAsia="仿宋_GB2312"/>
          <w:b/>
          <w:bCs w:val="0"/>
          <w:color w:val="auto"/>
          <w:kern w:val="0"/>
          <w:sz w:val="32"/>
          <w:szCs w:val="32"/>
          <w:u w:val="none"/>
        </w:rPr>
        <w:t>第二十</w:t>
      </w:r>
      <w:r>
        <w:rPr>
          <w:rFonts w:hint="eastAsia" w:ascii="仿宋_GB2312" w:eastAsia="仿宋_GB2312"/>
          <w:b/>
          <w:bCs w:val="0"/>
          <w:color w:val="auto"/>
          <w:kern w:val="0"/>
          <w:sz w:val="32"/>
          <w:szCs w:val="32"/>
          <w:u w:val="none"/>
          <w:lang w:eastAsia="zh-CN"/>
        </w:rPr>
        <w:t>二</w:t>
      </w:r>
      <w:r>
        <w:rPr>
          <w:rFonts w:hint="eastAsia" w:ascii="仿宋_GB2312" w:eastAsia="仿宋_GB2312"/>
          <w:b/>
          <w:bCs w:val="0"/>
          <w:color w:val="auto"/>
          <w:kern w:val="0"/>
          <w:sz w:val="32"/>
          <w:szCs w:val="32"/>
          <w:u w:val="none"/>
        </w:rPr>
        <w:t>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rPr>
        <w:t xml:space="preserve"> 储备肉</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 xml:space="preserve">有关人员须严守以下工作纪律：         </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42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 xml:space="preserve"> （一）对主管单位和储管中心的监督检查，管理单位、</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应予以配合，不得干涉、阻挠、拒绝；</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42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 xml:space="preserve"> （二）储管中心有关检查人员应遵守廉洁自律的各项规定，不得转嫁因由检查人员（单位）承担的费用，不得接受</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 xml:space="preserve">的宴请和馈赠；                                                   </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420"/>
        <w:textAlignment w:val="auto"/>
        <w:rPr>
          <w:rFonts w:ascii="仿宋_GB2312" w:eastAsia="仿宋_GB2312"/>
          <w:color w:val="auto"/>
          <w:kern w:val="0"/>
          <w:sz w:val="32"/>
          <w:szCs w:val="32"/>
          <w:u w:val="none"/>
        </w:rPr>
      </w:pPr>
      <w:r>
        <w:rPr>
          <w:rFonts w:hint="eastAsia" w:ascii="仿宋_GB2312" w:eastAsia="仿宋_GB2312"/>
          <w:color w:val="auto"/>
          <w:kern w:val="0"/>
          <w:sz w:val="32"/>
          <w:szCs w:val="32"/>
          <w:u w:val="none"/>
        </w:rPr>
        <w:t xml:space="preserve"> （三）储管中心有关检查人员应遵守</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有关防疫规定要求。</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rPr>
      </w:pPr>
      <w:r>
        <w:rPr>
          <w:rFonts w:hint="eastAsia" w:ascii="仿宋_GB2312" w:eastAsia="仿宋_GB2312"/>
          <w:b/>
          <w:bCs w:val="0"/>
          <w:color w:val="auto"/>
          <w:kern w:val="0"/>
          <w:sz w:val="32"/>
          <w:szCs w:val="32"/>
          <w:u w:val="none"/>
        </w:rPr>
        <w:t>第二十</w:t>
      </w:r>
      <w:r>
        <w:rPr>
          <w:rFonts w:hint="eastAsia" w:ascii="仿宋_GB2312" w:eastAsia="仿宋_GB2312"/>
          <w:b/>
          <w:bCs w:val="0"/>
          <w:color w:val="auto"/>
          <w:kern w:val="0"/>
          <w:sz w:val="32"/>
          <w:szCs w:val="32"/>
          <w:u w:val="none"/>
          <w:lang w:eastAsia="zh-CN"/>
        </w:rPr>
        <w:t>三</w:t>
      </w:r>
      <w:r>
        <w:rPr>
          <w:rFonts w:hint="eastAsia" w:ascii="仿宋_GB2312" w:eastAsia="仿宋_GB2312"/>
          <w:b/>
          <w:bCs w:val="0"/>
          <w:color w:val="auto"/>
          <w:kern w:val="0"/>
          <w:sz w:val="32"/>
          <w:szCs w:val="32"/>
          <w:u w:val="none"/>
        </w:rPr>
        <w:t>条</w:t>
      </w:r>
      <w:r>
        <w:rPr>
          <w:rFonts w:hint="eastAsia" w:ascii="仿宋_GB2312" w:eastAsia="仿宋_GB2312"/>
          <w:color w:val="auto"/>
          <w:kern w:val="0"/>
          <w:sz w:val="32"/>
          <w:szCs w:val="32"/>
          <w:u w:val="none"/>
        </w:rPr>
        <w:t xml:space="preserve"> </w:t>
      </w:r>
      <w:r>
        <w:rPr>
          <w:rFonts w:hint="eastAsia" w:ascii="仿宋_GB2312" w:eastAsia="仿宋_GB2312"/>
          <w:color w:val="auto"/>
          <w:kern w:val="0"/>
          <w:sz w:val="32"/>
          <w:szCs w:val="32"/>
          <w:u w:val="none"/>
          <w:lang w:val="en-US" w:eastAsia="zh-CN"/>
        </w:rPr>
        <w:t xml:space="preserve"> </w:t>
      </w:r>
      <w:r>
        <w:rPr>
          <w:rFonts w:hint="eastAsia" w:ascii="仿宋_GB2312" w:eastAsia="仿宋_GB2312"/>
          <w:color w:val="auto"/>
          <w:kern w:val="0"/>
          <w:sz w:val="32"/>
          <w:szCs w:val="32"/>
          <w:u w:val="none"/>
        </w:rPr>
        <w:t>储管中心建立健全诚信管理体系，将无故挂空储备计划，储备数量不足、质量违法违规、不接受应急</w:t>
      </w:r>
      <w:r>
        <w:rPr>
          <w:rFonts w:hint="eastAsia" w:ascii="仿宋_GB2312" w:eastAsia="仿宋_GB2312"/>
          <w:color w:val="auto"/>
          <w:kern w:val="0"/>
          <w:sz w:val="32"/>
          <w:szCs w:val="32"/>
          <w:u w:val="none"/>
          <w:lang w:eastAsia="zh-CN"/>
        </w:rPr>
        <w:t>投放</w:t>
      </w:r>
      <w:r>
        <w:rPr>
          <w:rFonts w:hint="eastAsia" w:ascii="仿宋_GB2312" w:eastAsia="仿宋_GB2312"/>
          <w:color w:val="auto"/>
          <w:kern w:val="0"/>
          <w:sz w:val="32"/>
          <w:szCs w:val="32"/>
          <w:u w:val="none"/>
        </w:rPr>
        <w:t>指令等问题被取消储备计划或承储资质的企业列入黑名单，三年内不得申报储备肉承储资质。</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rPr>
      </w:pP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30" w:lineRule="exact"/>
        <w:ind w:leftChars="0"/>
        <w:jc w:val="center"/>
        <w:textAlignment w:val="auto"/>
        <w:outlineLvl w:val="0"/>
        <w:rPr>
          <w:rFonts w:hint="eastAsia" w:ascii="黑体" w:hAnsi="黑体" w:eastAsia="黑体" w:cs="黑体"/>
          <w:b w:val="0"/>
          <w:bCs/>
          <w:color w:val="auto"/>
          <w:kern w:val="0"/>
          <w:sz w:val="32"/>
          <w:szCs w:val="32"/>
          <w:u w:val="none"/>
          <w:lang w:eastAsia="zh-CN"/>
        </w:rPr>
      </w:pPr>
      <w:r>
        <w:rPr>
          <w:rFonts w:hint="eastAsia" w:ascii="黑体" w:hAnsi="黑体" w:eastAsia="黑体" w:cs="黑体"/>
          <w:b w:val="0"/>
          <w:bCs/>
          <w:color w:val="auto"/>
          <w:kern w:val="0"/>
          <w:sz w:val="32"/>
          <w:szCs w:val="32"/>
          <w:u w:val="none"/>
          <w:lang w:val="en-US" w:eastAsia="zh-CN"/>
        </w:rPr>
        <w:t xml:space="preserve">第八章 </w:t>
      </w:r>
      <w:r>
        <w:rPr>
          <w:rFonts w:hint="eastAsia" w:ascii="黑体" w:hAnsi="黑体" w:eastAsia="黑体" w:cs="黑体"/>
          <w:b w:val="0"/>
          <w:bCs/>
          <w:color w:val="auto"/>
          <w:kern w:val="0"/>
          <w:sz w:val="32"/>
          <w:szCs w:val="32"/>
          <w:u w:val="none"/>
          <w:lang w:eastAsia="zh-CN"/>
        </w:rPr>
        <w:t>资金管理</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30" w:lineRule="exact"/>
        <w:ind w:leftChars="0" w:firstLine="643" w:firstLineChars="200"/>
        <w:textAlignment w:val="auto"/>
        <w:outlineLvl w:val="0"/>
        <w:rPr>
          <w:rFonts w:hint="eastAsia" w:ascii="仿宋_GB2312" w:eastAsia="仿宋_GB2312"/>
          <w:color w:val="auto"/>
          <w:kern w:val="0"/>
          <w:sz w:val="32"/>
          <w:szCs w:val="32"/>
          <w:u w:val="none"/>
          <w:lang w:eastAsia="zh-CN"/>
        </w:rPr>
      </w:pPr>
      <w:r>
        <w:rPr>
          <w:rFonts w:hint="eastAsia" w:ascii="仿宋_GB2312" w:eastAsia="仿宋_GB2312"/>
          <w:b/>
          <w:bCs w:val="0"/>
          <w:color w:val="auto"/>
          <w:kern w:val="0"/>
          <w:sz w:val="32"/>
          <w:szCs w:val="32"/>
          <w:u w:val="none"/>
          <w:lang w:eastAsia="zh-CN"/>
        </w:rPr>
        <w:t>第二十四条</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lang w:eastAsia="zh-CN"/>
        </w:rPr>
        <w:t>根据省和市发改委有关文件要求，由储管中心具体落实，并负责上报年度预算。</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lang w:eastAsia="zh-CN"/>
        </w:rPr>
      </w:pPr>
      <w:r>
        <w:rPr>
          <w:rFonts w:hint="eastAsia" w:ascii="仿宋_GB2312" w:eastAsia="仿宋_GB2312"/>
          <w:b/>
          <w:bCs w:val="0"/>
          <w:color w:val="auto"/>
          <w:kern w:val="0"/>
          <w:sz w:val="32"/>
          <w:szCs w:val="32"/>
          <w:u w:val="none"/>
          <w:lang w:eastAsia="zh-CN"/>
        </w:rPr>
        <w:t>第二十五条</w:t>
      </w:r>
      <w:r>
        <w:rPr>
          <w:rFonts w:hint="eastAsia" w:ascii="仿宋_GB2312" w:eastAsia="仿宋_GB2312"/>
          <w:color w:val="auto"/>
          <w:kern w:val="0"/>
          <w:sz w:val="32"/>
          <w:szCs w:val="32"/>
          <w:u w:val="none"/>
          <w:lang w:eastAsia="zh-CN"/>
        </w:rPr>
        <w:t>　储备肉实行财政补贴制度，主要包括冻猪肉的存储利息费、冷藏保管费和商品损耗费等费用。</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lang w:eastAsia="zh-CN"/>
        </w:rPr>
      </w:pPr>
      <w:r>
        <w:rPr>
          <w:rFonts w:hint="eastAsia" w:ascii="仿宋_GB2312" w:eastAsia="仿宋_GB2312"/>
          <w:color w:val="auto"/>
          <w:kern w:val="0"/>
          <w:sz w:val="32"/>
          <w:szCs w:val="32"/>
          <w:u w:val="none"/>
          <w:lang w:eastAsia="zh-CN"/>
        </w:rPr>
        <w:t>按照《浙江省省级重要商品应急储备管理办法》第二十一条的内容要求进行测算：</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lang w:eastAsia="zh-CN"/>
        </w:rPr>
      </w:pPr>
      <w:r>
        <w:rPr>
          <w:rFonts w:hint="eastAsia" w:ascii="仿宋_GB2312" w:eastAsia="仿宋_GB2312"/>
          <w:color w:val="auto"/>
          <w:kern w:val="0"/>
          <w:sz w:val="32"/>
          <w:szCs w:val="32"/>
          <w:u w:val="none"/>
          <w:lang w:val="en-US" w:eastAsia="zh-CN"/>
        </w:rPr>
        <w:t>（一）</w:t>
      </w:r>
      <w:r>
        <w:rPr>
          <w:rFonts w:hint="eastAsia" w:ascii="仿宋_GB2312" w:eastAsia="仿宋_GB2312"/>
          <w:color w:val="auto"/>
          <w:kern w:val="0"/>
          <w:sz w:val="32"/>
          <w:szCs w:val="32"/>
          <w:u w:val="none"/>
          <w:lang w:eastAsia="zh-CN"/>
        </w:rPr>
        <w:t>存储利息费：按计划内实际库存数量，招标前一个月冻猪肉平均价格和一年期银行贷款基准利率进行贴息；</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lang w:eastAsia="zh-CN"/>
        </w:rPr>
      </w:pPr>
      <w:r>
        <w:rPr>
          <w:rFonts w:hint="eastAsia" w:ascii="仿宋_GB2312" w:eastAsia="仿宋_GB2312"/>
          <w:color w:val="auto"/>
          <w:kern w:val="0"/>
          <w:sz w:val="32"/>
          <w:szCs w:val="32"/>
          <w:u w:val="none"/>
          <w:lang w:val="en-US" w:eastAsia="zh-CN"/>
        </w:rPr>
        <w:t>（二）</w:t>
      </w:r>
      <w:r>
        <w:rPr>
          <w:rFonts w:hint="eastAsia" w:ascii="仿宋_GB2312" w:eastAsia="仿宋_GB2312"/>
          <w:color w:val="auto"/>
          <w:kern w:val="0"/>
          <w:sz w:val="32"/>
          <w:szCs w:val="32"/>
          <w:u w:val="none"/>
          <w:lang w:eastAsia="zh-CN"/>
        </w:rPr>
        <w:t>冷藏保管费：按计划内实际库存数量和储存时间，实行定额补贴每月每吨</w:t>
      </w:r>
      <w:r>
        <w:rPr>
          <w:rFonts w:hint="eastAsia" w:ascii="仿宋_GB2312" w:eastAsia="仿宋_GB2312"/>
          <w:color w:val="auto"/>
          <w:kern w:val="0"/>
          <w:sz w:val="32"/>
          <w:szCs w:val="32"/>
          <w:u w:val="none"/>
          <w:lang w:val="en-US" w:eastAsia="zh-CN"/>
        </w:rPr>
        <w:t>80元</w:t>
      </w:r>
      <w:r>
        <w:rPr>
          <w:rFonts w:hint="eastAsia" w:ascii="仿宋_GB2312" w:eastAsia="仿宋_GB2312"/>
          <w:color w:val="auto"/>
          <w:kern w:val="0"/>
          <w:sz w:val="32"/>
          <w:szCs w:val="32"/>
          <w:u w:val="none"/>
          <w:lang w:eastAsia="zh-CN"/>
        </w:rPr>
        <w:t>。保管费主要包括仓租费、倒跺费等；</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lang w:eastAsia="zh-CN"/>
        </w:rPr>
      </w:pPr>
      <w:r>
        <w:rPr>
          <w:rFonts w:hint="eastAsia" w:ascii="仿宋_GB2312" w:eastAsia="仿宋_GB2312"/>
          <w:color w:val="auto"/>
          <w:kern w:val="0"/>
          <w:sz w:val="32"/>
          <w:szCs w:val="32"/>
          <w:u w:val="none"/>
          <w:lang w:val="en-US" w:eastAsia="zh-CN"/>
        </w:rPr>
        <w:t>（三）</w:t>
      </w:r>
      <w:r>
        <w:rPr>
          <w:rFonts w:hint="eastAsia" w:ascii="仿宋_GB2312" w:eastAsia="仿宋_GB2312"/>
          <w:color w:val="auto"/>
          <w:kern w:val="0"/>
          <w:sz w:val="32"/>
          <w:szCs w:val="32"/>
          <w:u w:val="none"/>
          <w:lang w:eastAsia="zh-CN"/>
        </w:rPr>
        <w:t>商品损耗费：分为存储过程中损耗（简称库耗）和运输途中损耗（简称途耗），实行承储企业包干制度，库耗和途耗各按合同签订储备量的4‰计算，超耗部分由承储企业承担。</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0"/>
        <w:textAlignment w:val="auto"/>
        <w:rPr>
          <w:rFonts w:hint="eastAsia" w:ascii="仿宋_GB2312" w:eastAsia="仿宋_GB2312"/>
          <w:color w:val="auto"/>
          <w:kern w:val="0"/>
          <w:sz w:val="32"/>
          <w:szCs w:val="32"/>
          <w:u w:val="none"/>
          <w:lang w:eastAsia="zh-CN"/>
        </w:rPr>
      </w:pPr>
      <w:r>
        <w:rPr>
          <w:rFonts w:hint="eastAsia" w:ascii="仿宋_GB2312" w:eastAsia="仿宋_GB2312"/>
          <w:color w:val="auto"/>
          <w:kern w:val="0"/>
          <w:sz w:val="32"/>
          <w:szCs w:val="32"/>
          <w:u w:val="none"/>
          <w:lang w:eastAsia="zh-CN"/>
        </w:rPr>
        <w:t>测算后，采用每年每吨包干制度，其中包括投放时承储企业运输、商品损耗等费用，报市财政局审批。</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ind w:firstLine="643" w:firstLineChars="200"/>
        <w:textAlignment w:val="auto"/>
        <w:rPr>
          <w:rFonts w:hint="eastAsia" w:ascii="仿宋_GB2312" w:eastAsia="仿宋_GB2312"/>
          <w:color w:val="auto"/>
          <w:kern w:val="0"/>
          <w:sz w:val="32"/>
          <w:szCs w:val="32"/>
          <w:u w:val="none"/>
        </w:rPr>
      </w:pPr>
      <w:r>
        <w:rPr>
          <w:rFonts w:hint="eastAsia" w:ascii="仿宋_GB2312" w:eastAsia="仿宋_GB2312"/>
          <w:b/>
          <w:bCs/>
          <w:color w:val="auto"/>
          <w:kern w:val="0"/>
          <w:sz w:val="32"/>
          <w:szCs w:val="32"/>
          <w:u w:val="none"/>
          <w:lang w:eastAsia="zh-CN"/>
        </w:rPr>
        <w:t>第二十六条</w:t>
      </w:r>
      <w:r>
        <w:rPr>
          <w:rFonts w:hint="eastAsia" w:ascii="仿宋_GB2312" w:eastAsia="仿宋_GB2312"/>
          <w:b/>
          <w:bCs/>
          <w:color w:val="auto"/>
          <w:kern w:val="0"/>
          <w:sz w:val="32"/>
          <w:szCs w:val="32"/>
          <w:u w:val="none"/>
          <w:lang w:val="en-US" w:eastAsia="zh-CN"/>
        </w:rPr>
        <w:t xml:space="preserve"> </w:t>
      </w:r>
      <w:r>
        <w:rPr>
          <w:rFonts w:hint="eastAsia" w:ascii="仿宋_GB2312" w:eastAsia="仿宋_GB2312"/>
          <w:color w:val="auto"/>
          <w:kern w:val="0"/>
          <w:sz w:val="32"/>
          <w:szCs w:val="32"/>
          <w:u w:val="none"/>
          <w:lang w:val="en-US" w:eastAsia="zh-CN"/>
        </w:rPr>
        <w:t xml:space="preserve"> </w:t>
      </w:r>
      <w:r>
        <w:rPr>
          <w:rFonts w:hint="eastAsia" w:ascii="仿宋_GB2312" w:eastAsia="仿宋_GB2312"/>
          <w:color w:val="auto"/>
          <w:kern w:val="0"/>
          <w:sz w:val="32"/>
          <w:szCs w:val="32"/>
          <w:u w:val="none"/>
        </w:rPr>
        <w:t>储备</w:t>
      </w:r>
      <w:r>
        <w:rPr>
          <w:rFonts w:hint="eastAsia" w:ascii="仿宋_GB2312" w:eastAsia="仿宋_GB2312"/>
          <w:color w:val="auto"/>
          <w:kern w:val="0"/>
          <w:sz w:val="32"/>
          <w:szCs w:val="32"/>
          <w:u w:val="none"/>
          <w:lang w:eastAsia="zh-CN"/>
        </w:rPr>
        <w:t>补贴</w:t>
      </w:r>
      <w:r>
        <w:rPr>
          <w:rFonts w:hint="eastAsia" w:ascii="仿宋_GB2312" w:eastAsia="仿宋_GB2312"/>
          <w:color w:val="auto"/>
          <w:kern w:val="0"/>
          <w:sz w:val="32"/>
          <w:szCs w:val="32"/>
          <w:u w:val="none"/>
        </w:rPr>
        <w:t>费用分两部分结算，其中60%</w:t>
      </w:r>
      <w:r>
        <w:rPr>
          <w:rFonts w:hint="eastAsia" w:ascii="仿宋_GB2312" w:eastAsia="仿宋_GB2312"/>
          <w:color w:val="auto"/>
          <w:kern w:val="0"/>
          <w:sz w:val="32"/>
          <w:szCs w:val="32"/>
          <w:u w:val="none"/>
          <w:lang w:eastAsia="zh-CN"/>
        </w:rPr>
        <w:t>按</w:t>
      </w:r>
      <w:r>
        <w:rPr>
          <w:rFonts w:hint="eastAsia" w:ascii="仿宋_GB2312" w:eastAsia="仿宋_GB2312"/>
          <w:color w:val="auto"/>
          <w:kern w:val="0"/>
          <w:sz w:val="32"/>
          <w:szCs w:val="32"/>
          <w:u w:val="none"/>
        </w:rPr>
        <w:t>月计算</w:t>
      </w:r>
      <w:r>
        <w:rPr>
          <w:rFonts w:hint="eastAsia" w:ascii="仿宋_GB2312" w:eastAsia="仿宋_GB2312"/>
          <w:color w:val="auto"/>
          <w:kern w:val="0"/>
          <w:sz w:val="32"/>
          <w:szCs w:val="32"/>
          <w:u w:val="none"/>
          <w:lang w:eastAsia="zh-CN"/>
        </w:rPr>
        <w:t>按</w:t>
      </w:r>
      <w:r>
        <w:rPr>
          <w:rFonts w:hint="eastAsia" w:ascii="仿宋_GB2312" w:eastAsia="仿宋_GB2312"/>
          <w:color w:val="auto"/>
          <w:kern w:val="0"/>
          <w:sz w:val="32"/>
          <w:szCs w:val="32"/>
          <w:u w:val="none"/>
        </w:rPr>
        <w:t>季度拨付；</w:t>
      </w:r>
      <w:r>
        <w:rPr>
          <w:rFonts w:hint="eastAsia" w:ascii="仿宋_GB2312" w:eastAsia="仿宋_GB2312"/>
          <w:color w:val="auto"/>
          <w:kern w:val="0"/>
          <w:sz w:val="32"/>
          <w:szCs w:val="32"/>
          <w:u w:val="none"/>
          <w:lang w:eastAsia="zh-CN"/>
        </w:rPr>
        <w:t>另外的</w:t>
      </w:r>
      <w:r>
        <w:rPr>
          <w:rFonts w:hint="eastAsia" w:ascii="仿宋_GB2312" w:eastAsia="仿宋_GB2312"/>
          <w:color w:val="auto"/>
          <w:kern w:val="0"/>
          <w:sz w:val="32"/>
          <w:szCs w:val="32"/>
          <w:u w:val="none"/>
        </w:rPr>
        <w:t>40%在合同期满后，根据</w:t>
      </w:r>
      <w:r>
        <w:rPr>
          <w:rFonts w:hint="eastAsia" w:ascii="仿宋_GB2312" w:eastAsia="仿宋_GB2312"/>
          <w:color w:val="auto"/>
          <w:kern w:val="0"/>
          <w:sz w:val="32"/>
          <w:szCs w:val="32"/>
          <w:u w:val="none"/>
          <w:lang w:eastAsia="zh-CN"/>
        </w:rPr>
        <w:t>检查和考核情况，结合</w:t>
      </w:r>
      <w:r>
        <w:rPr>
          <w:rFonts w:hint="eastAsia" w:ascii="仿宋_GB2312" w:eastAsia="仿宋_GB2312"/>
          <w:color w:val="auto"/>
          <w:kern w:val="0"/>
          <w:sz w:val="32"/>
          <w:szCs w:val="32"/>
          <w:u w:val="none"/>
        </w:rPr>
        <w:t>合同期内</w:t>
      </w:r>
      <w:r>
        <w:rPr>
          <w:rFonts w:hint="eastAsia" w:ascii="仿宋_GB2312" w:eastAsia="仿宋_GB2312"/>
          <w:color w:val="auto"/>
          <w:kern w:val="0"/>
          <w:sz w:val="32"/>
          <w:szCs w:val="32"/>
          <w:u w:val="none"/>
          <w:lang w:eastAsia="zh-CN"/>
        </w:rPr>
        <w:t>承储企业</w:t>
      </w:r>
      <w:r>
        <w:rPr>
          <w:rFonts w:hint="eastAsia" w:ascii="仿宋_GB2312" w:eastAsia="仿宋_GB2312"/>
          <w:color w:val="auto"/>
          <w:kern w:val="0"/>
          <w:sz w:val="32"/>
          <w:szCs w:val="32"/>
          <w:u w:val="none"/>
        </w:rPr>
        <w:t>执行投放、轮换和储备管理等情况，予以一次性拨付。</w:t>
      </w: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rPr>
          <w:rFonts w:hint="eastAsia" w:ascii="黑体" w:hAnsi="黑体" w:eastAsia="黑体"/>
          <w:bCs/>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val="0"/>
        <w:snapToGrid w:val="0"/>
        <w:spacing w:line="530" w:lineRule="exact"/>
        <w:jc w:val="center"/>
        <w:textAlignment w:val="auto"/>
        <w:outlineLvl w:val="0"/>
        <w:rPr>
          <w:rFonts w:ascii="黑体" w:hAnsi="黑体" w:eastAsia="黑体"/>
          <w:bCs/>
          <w:color w:val="auto"/>
          <w:kern w:val="0"/>
          <w:sz w:val="32"/>
          <w:szCs w:val="32"/>
          <w:u w:val="none"/>
        </w:rPr>
      </w:pPr>
      <w:r>
        <w:rPr>
          <w:rFonts w:hint="eastAsia" w:ascii="黑体" w:hAnsi="黑体" w:eastAsia="黑体"/>
          <w:bCs/>
          <w:color w:val="auto"/>
          <w:kern w:val="0"/>
          <w:sz w:val="32"/>
          <w:szCs w:val="32"/>
          <w:u w:val="none"/>
        </w:rPr>
        <w:t>第</w:t>
      </w:r>
      <w:r>
        <w:rPr>
          <w:rFonts w:hint="eastAsia" w:ascii="黑体" w:hAnsi="黑体" w:eastAsia="黑体"/>
          <w:bCs/>
          <w:color w:val="auto"/>
          <w:kern w:val="0"/>
          <w:sz w:val="32"/>
          <w:szCs w:val="32"/>
          <w:u w:val="none"/>
          <w:lang w:val="en-US" w:eastAsia="zh-CN"/>
        </w:rPr>
        <w:t>九</w:t>
      </w:r>
      <w:r>
        <w:rPr>
          <w:rFonts w:hint="eastAsia" w:ascii="黑体" w:hAnsi="黑体" w:eastAsia="黑体"/>
          <w:bCs/>
          <w:color w:val="auto"/>
          <w:kern w:val="0"/>
          <w:sz w:val="32"/>
          <w:szCs w:val="32"/>
          <w:u w:val="none"/>
        </w:rPr>
        <w:t>章 附  则</w:t>
      </w:r>
    </w:p>
    <w:p>
      <w:pPr>
        <w:keepNext w:val="0"/>
        <w:keepLines w:val="0"/>
        <w:pageBreakBefore w:val="0"/>
        <w:kinsoku/>
        <w:wordWrap/>
        <w:overflowPunct/>
        <w:topLinePunct w:val="0"/>
        <w:autoSpaceDE/>
        <w:autoSpaceDN/>
        <w:bidi w:val="0"/>
        <w:adjustRightInd w:val="0"/>
        <w:snapToGrid w:val="0"/>
        <w:spacing w:line="530" w:lineRule="exact"/>
        <w:ind w:firstLine="643" w:firstLineChars="200"/>
        <w:textAlignment w:val="auto"/>
        <w:rPr>
          <w:rFonts w:ascii="仿宋_GB2312" w:eastAsia="仿宋_GB2312"/>
          <w:color w:val="auto"/>
          <w:kern w:val="0"/>
          <w:sz w:val="32"/>
          <w:szCs w:val="32"/>
          <w:u w:val="none"/>
        </w:rPr>
      </w:pPr>
      <w:r>
        <w:rPr>
          <w:rFonts w:hint="eastAsia" w:ascii="仿宋_GB2312" w:eastAsia="仿宋_GB2312"/>
          <w:b/>
          <w:bCs w:val="0"/>
          <w:color w:val="auto"/>
          <w:kern w:val="0"/>
          <w:sz w:val="32"/>
          <w:szCs w:val="32"/>
          <w:u w:val="none"/>
        </w:rPr>
        <w:t>第二十</w:t>
      </w:r>
      <w:r>
        <w:rPr>
          <w:rFonts w:hint="eastAsia" w:ascii="仿宋_GB2312" w:eastAsia="仿宋_GB2312"/>
          <w:b/>
          <w:bCs w:val="0"/>
          <w:color w:val="auto"/>
          <w:kern w:val="0"/>
          <w:sz w:val="32"/>
          <w:szCs w:val="32"/>
          <w:u w:val="none"/>
          <w:lang w:eastAsia="zh-CN"/>
        </w:rPr>
        <w:t>七</w:t>
      </w:r>
      <w:r>
        <w:rPr>
          <w:rFonts w:hint="eastAsia" w:ascii="仿宋_GB2312" w:eastAsia="仿宋_GB2312"/>
          <w:b/>
          <w:bCs w:val="0"/>
          <w:color w:val="auto"/>
          <w:kern w:val="0"/>
          <w:sz w:val="32"/>
          <w:szCs w:val="32"/>
          <w:u w:val="none"/>
        </w:rPr>
        <w:t xml:space="preserve">条 </w:t>
      </w:r>
      <w:r>
        <w:rPr>
          <w:rFonts w:hint="eastAsia" w:ascii="仿宋_GB2312" w:eastAsia="仿宋_GB2312"/>
          <w:b/>
          <w:bCs w:val="0"/>
          <w:color w:val="auto"/>
          <w:kern w:val="0"/>
          <w:sz w:val="32"/>
          <w:szCs w:val="32"/>
          <w:u w:val="none"/>
          <w:lang w:val="en-US" w:eastAsia="zh-CN"/>
        </w:rPr>
        <w:t xml:space="preserve"> </w:t>
      </w:r>
      <w:r>
        <w:rPr>
          <w:rFonts w:hint="eastAsia" w:ascii="仿宋_GB2312" w:eastAsia="仿宋_GB2312"/>
          <w:color w:val="auto"/>
          <w:kern w:val="0"/>
          <w:sz w:val="32"/>
          <w:szCs w:val="32"/>
          <w:u w:val="none"/>
        </w:rPr>
        <w:t>本细则自印发之日起施行，由市粮食和物资储备局负责解释。</w:t>
      </w:r>
    </w:p>
    <w:p>
      <w:pPr>
        <w:keepNext w:val="0"/>
        <w:keepLines w:val="0"/>
        <w:pageBreakBefore w:val="0"/>
        <w:kinsoku/>
        <w:wordWrap/>
        <w:overflowPunct/>
        <w:topLinePunct w:val="0"/>
        <w:autoSpaceDE/>
        <w:autoSpaceDN/>
        <w:bidi w:val="0"/>
        <w:spacing w:line="530" w:lineRule="exact"/>
        <w:ind w:firstLine="640" w:firstLineChars="200"/>
        <w:jc w:val="left"/>
        <w:textAlignment w:val="auto"/>
        <w:outlineLvl w:val="0"/>
        <w:rPr>
          <w:rFonts w:hint="eastAsia" w:ascii="仿宋_GB2312" w:eastAsia="仿宋_GB2312"/>
          <w:bCs/>
          <w:color w:val="auto"/>
          <w:kern w:val="0"/>
          <w:sz w:val="32"/>
          <w:szCs w:val="32"/>
          <w:u w:val="none"/>
          <w:lang w:eastAsia="zh-CN"/>
        </w:rPr>
      </w:pPr>
      <w:r>
        <w:rPr>
          <w:rFonts w:hint="eastAsia" w:ascii="仿宋_GB2312" w:eastAsia="仿宋_GB2312"/>
          <w:color w:val="auto"/>
          <w:kern w:val="0"/>
          <w:sz w:val="32"/>
          <w:szCs w:val="32"/>
          <w:u w:val="none"/>
        </w:rPr>
        <w:t>附件：</w:t>
      </w:r>
      <w:r>
        <w:rPr>
          <w:rFonts w:hint="eastAsia" w:ascii="仿宋_GB2312" w:eastAsia="仿宋_GB2312"/>
          <w:bCs/>
          <w:color w:val="auto"/>
          <w:kern w:val="0"/>
          <w:sz w:val="32"/>
          <w:szCs w:val="32"/>
          <w:u w:val="none"/>
        </w:rPr>
        <w:t>1. 冻猪肉储备标识牌</w:t>
      </w:r>
      <w:r>
        <w:rPr>
          <w:rFonts w:hint="eastAsia" w:ascii="仿宋_GB2312" w:eastAsia="仿宋_GB2312"/>
          <w:bCs/>
          <w:color w:val="auto"/>
          <w:kern w:val="0"/>
          <w:sz w:val="32"/>
          <w:szCs w:val="32"/>
          <w:u w:val="none"/>
          <w:lang w:eastAsia="zh-CN"/>
        </w:rPr>
        <w:t>（</w:t>
      </w:r>
      <w:r>
        <w:rPr>
          <w:rFonts w:hint="eastAsia" w:ascii="仿宋_GB2312" w:eastAsia="仿宋_GB2312"/>
          <w:bCs/>
          <w:color w:val="auto"/>
          <w:kern w:val="0"/>
          <w:sz w:val="32"/>
          <w:szCs w:val="32"/>
          <w:u w:val="none"/>
          <w:lang w:val="en-US" w:eastAsia="zh-CN"/>
        </w:rPr>
        <w:t>样式</w:t>
      </w:r>
      <w:r>
        <w:rPr>
          <w:rFonts w:hint="eastAsia" w:ascii="仿宋_GB2312" w:eastAsia="仿宋_GB2312"/>
          <w:bCs/>
          <w:color w:val="auto"/>
          <w:kern w:val="0"/>
          <w:sz w:val="32"/>
          <w:szCs w:val="32"/>
          <w:u w:val="none"/>
          <w:lang w:eastAsia="zh-CN"/>
        </w:rPr>
        <w:t>）</w:t>
      </w:r>
    </w:p>
    <w:p>
      <w:pPr>
        <w:keepNext w:val="0"/>
        <w:keepLines w:val="0"/>
        <w:pageBreakBefore w:val="0"/>
        <w:kinsoku/>
        <w:wordWrap/>
        <w:overflowPunct/>
        <w:topLinePunct w:val="0"/>
        <w:autoSpaceDE/>
        <w:autoSpaceDN/>
        <w:bidi w:val="0"/>
        <w:spacing w:line="530" w:lineRule="exact"/>
        <w:ind w:firstLine="1600" w:firstLineChars="500"/>
        <w:jc w:val="left"/>
        <w:textAlignment w:val="auto"/>
        <w:outlineLvl w:val="0"/>
        <w:rPr>
          <w:rFonts w:hint="eastAsia" w:ascii="仿宋_GB2312" w:eastAsia="仿宋_GB2312"/>
          <w:bCs/>
          <w:color w:val="auto"/>
          <w:kern w:val="0"/>
          <w:sz w:val="32"/>
          <w:szCs w:val="32"/>
          <w:u w:val="none"/>
          <w:lang w:eastAsia="zh-CN"/>
        </w:rPr>
      </w:pPr>
      <w:r>
        <w:rPr>
          <w:rFonts w:hint="eastAsia" w:ascii="仿宋_GB2312" w:eastAsia="仿宋_GB2312"/>
          <w:bCs/>
          <w:color w:val="auto"/>
          <w:kern w:val="0"/>
          <w:sz w:val="32"/>
          <w:szCs w:val="32"/>
          <w:u w:val="none"/>
        </w:rPr>
        <w:t>2. 冻猪肉储备标识卡</w:t>
      </w:r>
    </w:p>
    <w:p>
      <w:pPr>
        <w:keepNext w:val="0"/>
        <w:keepLines w:val="0"/>
        <w:pageBreakBefore w:val="0"/>
        <w:kinsoku/>
        <w:wordWrap/>
        <w:overflowPunct/>
        <w:topLinePunct w:val="0"/>
        <w:autoSpaceDE/>
        <w:autoSpaceDN/>
        <w:bidi w:val="0"/>
        <w:spacing w:line="530" w:lineRule="exact"/>
        <w:ind w:firstLine="1600" w:firstLineChars="500"/>
        <w:textAlignment w:val="auto"/>
        <w:outlineLvl w:val="0"/>
        <w:rPr>
          <w:rFonts w:hint="eastAsia" w:ascii="仿宋_GB2312" w:eastAsia="仿宋_GB2312"/>
          <w:bCs/>
          <w:color w:val="auto"/>
          <w:kern w:val="0"/>
          <w:sz w:val="32"/>
          <w:szCs w:val="32"/>
          <w:u w:val="none"/>
        </w:rPr>
      </w:pPr>
      <w:r>
        <w:rPr>
          <w:rFonts w:hint="eastAsia" w:ascii="仿宋_GB2312" w:eastAsia="仿宋_GB2312"/>
          <w:bCs/>
          <w:color w:val="auto"/>
          <w:kern w:val="0"/>
          <w:sz w:val="32"/>
          <w:szCs w:val="32"/>
          <w:u w:val="none"/>
        </w:rPr>
        <w:t>3. 温州市冻猪肉储备月度报表</w:t>
      </w:r>
    </w:p>
    <w:p>
      <w:pPr>
        <w:keepNext w:val="0"/>
        <w:keepLines w:val="0"/>
        <w:pageBreakBefore w:val="0"/>
        <w:kinsoku/>
        <w:wordWrap/>
        <w:overflowPunct/>
        <w:topLinePunct w:val="0"/>
        <w:autoSpaceDE/>
        <w:autoSpaceDN/>
        <w:bidi w:val="0"/>
        <w:spacing w:line="530" w:lineRule="exact"/>
        <w:ind w:firstLine="1600" w:firstLineChars="500"/>
        <w:textAlignment w:val="auto"/>
        <w:outlineLvl w:val="0"/>
        <w:rPr>
          <w:rFonts w:hint="eastAsia" w:ascii="仿宋_GB2312" w:eastAsia="仿宋_GB2312"/>
          <w:bCs/>
          <w:color w:val="auto"/>
          <w:kern w:val="0"/>
          <w:sz w:val="32"/>
          <w:szCs w:val="32"/>
          <w:u w:val="none"/>
          <w:lang w:val="en-US" w:eastAsia="zh-CN"/>
        </w:rPr>
      </w:pPr>
      <w:r>
        <w:rPr>
          <w:rFonts w:hint="eastAsia" w:ascii="仿宋_GB2312" w:eastAsia="仿宋_GB2312"/>
          <w:bCs/>
          <w:color w:val="auto"/>
          <w:kern w:val="0"/>
          <w:sz w:val="32"/>
          <w:szCs w:val="32"/>
          <w:u w:val="none"/>
          <w:lang w:val="en-US" w:eastAsia="zh-CN"/>
        </w:rPr>
        <w:t>4.市级冻猪肉储备经费管理流程</w:t>
      </w:r>
    </w:p>
    <w:p>
      <w:pPr>
        <w:keepNext w:val="0"/>
        <w:keepLines w:val="0"/>
        <w:pageBreakBefore w:val="0"/>
        <w:kinsoku/>
        <w:wordWrap/>
        <w:overflowPunct/>
        <w:topLinePunct w:val="0"/>
        <w:autoSpaceDE/>
        <w:autoSpaceDN/>
        <w:bidi w:val="0"/>
        <w:spacing w:line="530" w:lineRule="exact"/>
        <w:ind w:firstLine="1440" w:firstLineChars="450"/>
        <w:textAlignment w:val="auto"/>
        <w:rPr>
          <w:rFonts w:hint="default" w:ascii="仿宋_GB2312" w:eastAsia="仿宋_GB2312"/>
          <w:bCs/>
          <w:color w:val="auto"/>
          <w:kern w:val="0"/>
          <w:sz w:val="32"/>
          <w:szCs w:val="32"/>
          <w:u w:val="none"/>
          <w:lang w:val="en-US" w:eastAsia="zh-CN"/>
        </w:rPr>
      </w:pP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Cs/>
          <w:color w:val="auto"/>
          <w:kern w:val="0"/>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b/>
          <w:color w:val="auto"/>
          <w:sz w:val="32"/>
          <w:szCs w:val="32"/>
          <w:u w:val="none"/>
        </w:rPr>
      </w:pPr>
    </w:p>
    <w:p>
      <w:pPr>
        <w:jc w:val="left"/>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附件1</w:t>
      </w:r>
    </w:p>
    <w:p>
      <w:pPr>
        <w:jc w:val="center"/>
        <w:outlineLvl w:val="0"/>
        <w:rPr>
          <w:rFonts w:hint="eastAsia" w:ascii="方正小标宋简体" w:hAnsi="方正小标宋简体" w:eastAsia="方正小标宋简体" w:cs="方正小标宋简体"/>
          <w:b w:val="0"/>
          <w:bCs w:val="0"/>
          <w:color w:val="auto"/>
          <w:kern w:val="0"/>
          <w:sz w:val="36"/>
          <w:szCs w:val="36"/>
          <w:u w:val="none"/>
          <w:lang w:val="en-US" w:eastAsia="zh-CN"/>
        </w:rPr>
      </w:pPr>
      <w:r>
        <w:rPr>
          <w:rFonts w:hint="eastAsia" w:ascii="方正小标宋简体" w:hAnsi="方正小标宋简体" w:eastAsia="方正小标宋简体" w:cs="方正小标宋简体"/>
          <w:b w:val="0"/>
          <w:bCs w:val="0"/>
          <w:color w:val="auto"/>
          <w:kern w:val="0"/>
          <w:sz w:val="36"/>
          <w:szCs w:val="36"/>
          <w:u w:val="none"/>
          <w:lang w:val="en-US" w:eastAsia="zh-CN"/>
        </w:rPr>
        <w:t>冻猪肉储备标识牌</w:t>
      </w:r>
      <w:r>
        <w:rPr>
          <w:rFonts w:hint="eastAsia" w:ascii="方正小标宋简体" w:hAnsi="方正小标宋简体" w:eastAsia="方正小标宋简体" w:cs="方正小标宋简体"/>
          <w:bCs/>
          <w:color w:val="auto"/>
          <w:kern w:val="0"/>
          <w:sz w:val="32"/>
          <w:szCs w:val="32"/>
          <w:u w:val="none"/>
          <w:lang w:eastAsia="zh-CN"/>
        </w:rPr>
        <w:t>（</w:t>
      </w:r>
      <w:r>
        <w:rPr>
          <w:rFonts w:hint="eastAsia" w:ascii="方正小标宋简体" w:hAnsi="方正小标宋简体" w:eastAsia="方正小标宋简体" w:cs="方正小标宋简体"/>
          <w:bCs/>
          <w:color w:val="auto"/>
          <w:kern w:val="0"/>
          <w:sz w:val="32"/>
          <w:szCs w:val="32"/>
          <w:u w:val="none"/>
          <w:lang w:val="en-US" w:eastAsia="zh-CN"/>
        </w:rPr>
        <w:t>样式</w:t>
      </w:r>
      <w:r>
        <w:rPr>
          <w:rFonts w:hint="eastAsia" w:ascii="方正小标宋简体" w:hAnsi="方正小标宋简体" w:eastAsia="方正小标宋简体" w:cs="方正小标宋简体"/>
          <w:bCs/>
          <w:color w:val="auto"/>
          <w:kern w:val="0"/>
          <w:sz w:val="32"/>
          <w:szCs w:val="32"/>
          <w:u w:val="none"/>
          <w:lang w:eastAsia="zh-CN"/>
        </w:rPr>
        <w:t>）</w:t>
      </w:r>
      <w:r>
        <w:rPr>
          <w:rFonts w:hint="eastAsia" w:ascii="方正小标宋简体" w:hAnsi="方正小标宋简体" w:eastAsia="方正小标宋简体" w:cs="方正小标宋简体"/>
          <w:b w:val="0"/>
          <w:bCs w:val="0"/>
          <w:color w:val="auto"/>
          <w:kern w:val="0"/>
          <w:sz w:val="36"/>
          <w:szCs w:val="36"/>
          <w:u w:val="none"/>
          <w:lang w:val="en-US" w:eastAsia="zh-CN"/>
        </w:rPr>
        <w:br w:type="textWrapping"/>
      </w:r>
    </w:p>
    <w:p>
      <w:pPr>
        <w:jc w:val="center"/>
        <w:outlineLvl w:val="0"/>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温州市市级储备肉</w:t>
      </w:r>
    </w:p>
    <w:p>
      <w:pPr>
        <w:jc w:val="center"/>
        <w:outlineLvl w:val="0"/>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eastAsia="仿宋_GB2312" w:cs="仿宋_GB2312"/>
          <w:b w:val="0"/>
          <w:bCs w:val="0"/>
          <w:color w:val="auto"/>
          <w:kern w:val="0"/>
          <w:sz w:val="32"/>
          <w:szCs w:val="32"/>
          <w:u w:val="none"/>
          <w:lang w:val="en-US" w:eastAsia="zh-CN"/>
        </w:rPr>
        <w:t>（数量）</w:t>
      </w:r>
    </w:p>
    <w:p>
      <w:pPr>
        <w:rPr>
          <w:rFonts w:hint="eastAsia" w:ascii="黑体" w:hAnsi="黑体" w:eastAsia="黑体" w:cs="黑体"/>
          <w:b w:val="0"/>
          <w:bCs/>
          <w:color w:val="auto"/>
          <w:kern w:val="0"/>
          <w:sz w:val="32"/>
          <w:szCs w:val="32"/>
          <w:u w:val="none"/>
        </w:rPr>
      </w:pPr>
    </w:p>
    <w:p>
      <w:pPr>
        <w:rPr>
          <w:rFonts w:hint="eastAsia" w:ascii="黑体" w:hAnsi="黑体" w:eastAsia="黑体" w:cs="黑体"/>
          <w:b w:val="0"/>
          <w:bCs/>
          <w:color w:val="auto"/>
          <w:kern w:val="0"/>
          <w:sz w:val="32"/>
          <w:szCs w:val="32"/>
          <w:u w:val="none"/>
        </w:rPr>
      </w:pPr>
    </w:p>
    <w:p>
      <w:pPr>
        <w:rPr>
          <w:rFonts w:ascii="仿宋_GB2312" w:eastAsia="仿宋_GB2312"/>
          <w:b/>
          <w:color w:val="auto"/>
          <w:kern w:val="0"/>
          <w:sz w:val="32"/>
          <w:szCs w:val="32"/>
          <w:u w:val="none"/>
        </w:rPr>
      </w:pPr>
      <w:r>
        <w:rPr>
          <w:rFonts w:hint="eastAsia" w:ascii="黑体" w:hAnsi="黑体" w:eastAsia="黑体" w:cs="黑体"/>
          <w:b w:val="0"/>
          <w:bCs/>
          <w:color w:val="auto"/>
          <w:kern w:val="0"/>
          <w:sz w:val="32"/>
          <w:szCs w:val="32"/>
          <w:u w:val="none"/>
        </w:rPr>
        <w:t>附件2</w:t>
      </w:r>
    </w:p>
    <w:p>
      <w:pPr>
        <w:jc w:val="center"/>
        <w:outlineLvl w:val="0"/>
        <w:rPr>
          <w:rFonts w:hint="eastAsia" w:ascii="方正小标宋简体" w:hAnsi="方正小标宋简体" w:eastAsia="方正小标宋简体" w:cs="方正小标宋简体"/>
          <w:color w:val="auto"/>
          <w:sz w:val="36"/>
          <w:szCs w:val="36"/>
          <w:u w:val="none"/>
        </w:rPr>
      </w:pPr>
      <w:r>
        <w:rPr>
          <w:rFonts w:hint="eastAsia" w:ascii="方正小标宋简体" w:hAnsi="方正小标宋简体" w:eastAsia="方正小标宋简体" w:cs="方正小标宋简体"/>
          <w:color w:val="auto"/>
          <w:sz w:val="36"/>
          <w:szCs w:val="36"/>
          <w:u w:val="none"/>
        </w:rPr>
        <w:t>冻猪肉储备标识卡</w:t>
      </w:r>
    </w:p>
    <w:p>
      <w:pPr>
        <w:ind w:firstLine="480" w:firstLineChars="200"/>
        <w:jc w:val="left"/>
        <w:rPr>
          <w:color w:val="auto"/>
          <w:sz w:val="24"/>
          <w:szCs w:val="32"/>
          <w:u w:val="none"/>
        </w:rPr>
      </w:pPr>
    </w:p>
    <w:tbl>
      <w:tblPr>
        <w:tblStyle w:val="7"/>
        <w:tblW w:w="7745" w:type="dxa"/>
        <w:tblInd w:w="0" w:type="dxa"/>
        <w:tblLayout w:type="autofit"/>
        <w:tblCellMar>
          <w:top w:w="0" w:type="dxa"/>
          <w:left w:w="0" w:type="dxa"/>
          <w:bottom w:w="0" w:type="dxa"/>
          <w:right w:w="0" w:type="dxa"/>
        </w:tblCellMar>
      </w:tblPr>
      <w:tblGrid>
        <w:gridCol w:w="1716"/>
        <w:gridCol w:w="2255"/>
        <w:gridCol w:w="1573"/>
        <w:gridCol w:w="2201"/>
      </w:tblGrid>
      <w:tr>
        <w:tblPrEx>
          <w:tblCellMar>
            <w:top w:w="0" w:type="dxa"/>
            <w:left w:w="0" w:type="dxa"/>
            <w:bottom w:w="0" w:type="dxa"/>
            <w:right w:w="0" w:type="dxa"/>
          </w:tblCellMar>
        </w:tblPrEx>
        <w:trPr>
          <w:trHeight w:val="453" w:hRule="atLeast"/>
        </w:trPr>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储备单位：</w:t>
            </w:r>
          </w:p>
        </w:tc>
        <w:tc>
          <w:tcPr>
            <w:tcW w:w="60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r>
      <w:tr>
        <w:tblPrEx>
          <w:tblCellMar>
            <w:top w:w="0" w:type="dxa"/>
            <w:left w:w="0" w:type="dxa"/>
            <w:bottom w:w="0" w:type="dxa"/>
            <w:right w:w="0" w:type="dxa"/>
          </w:tblCellMar>
        </w:tblPrEx>
        <w:trPr>
          <w:trHeight w:val="453" w:hRule="atLeast"/>
        </w:trPr>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品   名:</w:t>
            </w:r>
          </w:p>
        </w:tc>
        <w:tc>
          <w:tcPr>
            <w:tcW w:w="2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 xml:space="preserve">规 </w:t>
            </w:r>
            <w:r>
              <w:rPr>
                <w:rFonts w:hint="eastAsia" w:ascii="宋体" w:hAnsi="宋体" w:cs="宋体"/>
                <w:color w:val="auto"/>
                <w:kern w:val="0"/>
                <w:sz w:val="28"/>
                <w:szCs w:val="28"/>
                <w:u w:val="none"/>
                <w:lang w:val="en-US" w:eastAsia="zh-CN"/>
              </w:rPr>
              <w:t xml:space="preserve"> </w:t>
            </w:r>
            <w:r>
              <w:rPr>
                <w:rFonts w:hint="eastAsia" w:ascii="宋体" w:hAnsi="宋体" w:cs="宋体"/>
                <w:color w:val="auto"/>
                <w:kern w:val="0"/>
                <w:sz w:val="28"/>
                <w:szCs w:val="28"/>
                <w:u w:val="none"/>
              </w:rPr>
              <w:t>格：</w:t>
            </w:r>
          </w:p>
        </w:tc>
        <w:tc>
          <w:tcPr>
            <w:tcW w:w="2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r>
      <w:tr>
        <w:tblPrEx>
          <w:tblCellMar>
            <w:top w:w="0" w:type="dxa"/>
            <w:left w:w="0" w:type="dxa"/>
            <w:bottom w:w="0" w:type="dxa"/>
            <w:right w:w="0" w:type="dxa"/>
          </w:tblCellMar>
        </w:tblPrEx>
        <w:trPr>
          <w:trHeight w:val="453" w:hRule="atLeast"/>
        </w:trPr>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总</w:t>
            </w:r>
            <w:r>
              <w:rPr>
                <w:rFonts w:hint="eastAsia" w:ascii="宋体" w:hAnsi="宋体" w:cs="宋体"/>
                <w:color w:val="auto"/>
                <w:kern w:val="0"/>
                <w:sz w:val="28"/>
                <w:szCs w:val="28"/>
                <w:u w:val="none"/>
                <w:lang w:val="en-US" w:eastAsia="zh-CN"/>
              </w:rPr>
              <w:t xml:space="preserve"> </w:t>
            </w:r>
            <w:r>
              <w:rPr>
                <w:rFonts w:hint="eastAsia" w:ascii="宋体" w:hAnsi="宋体" w:cs="宋体"/>
                <w:color w:val="auto"/>
                <w:kern w:val="0"/>
                <w:sz w:val="28"/>
                <w:szCs w:val="28"/>
                <w:u w:val="none"/>
              </w:rPr>
              <w:t>重</w:t>
            </w:r>
            <w:r>
              <w:rPr>
                <w:rFonts w:hint="eastAsia" w:ascii="宋体" w:hAnsi="宋体" w:cs="宋体"/>
                <w:color w:val="auto"/>
                <w:kern w:val="0"/>
                <w:sz w:val="28"/>
                <w:szCs w:val="28"/>
                <w:u w:val="none"/>
                <w:lang w:val="en-US" w:eastAsia="zh-CN"/>
              </w:rPr>
              <w:t xml:space="preserve"> </w:t>
            </w:r>
            <w:r>
              <w:rPr>
                <w:rFonts w:hint="eastAsia" w:ascii="宋体" w:hAnsi="宋体" w:cs="宋体"/>
                <w:color w:val="auto"/>
                <w:kern w:val="0"/>
                <w:sz w:val="28"/>
                <w:szCs w:val="28"/>
                <w:u w:val="none"/>
              </w:rPr>
              <w:t>量：</w:t>
            </w:r>
          </w:p>
        </w:tc>
        <w:tc>
          <w:tcPr>
            <w:tcW w:w="2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 xml:space="preserve">产 </w:t>
            </w:r>
            <w:r>
              <w:rPr>
                <w:rFonts w:hint="eastAsia" w:ascii="宋体" w:hAnsi="宋体" w:cs="宋体"/>
                <w:color w:val="auto"/>
                <w:kern w:val="0"/>
                <w:sz w:val="28"/>
                <w:szCs w:val="28"/>
                <w:u w:val="none"/>
                <w:lang w:val="en-US" w:eastAsia="zh-CN"/>
              </w:rPr>
              <w:t xml:space="preserve"> </w:t>
            </w:r>
            <w:r>
              <w:rPr>
                <w:rFonts w:hint="eastAsia" w:ascii="宋体" w:hAnsi="宋体" w:cs="宋体"/>
                <w:color w:val="auto"/>
                <w:kern w:val="0"/>
                <w:sz w:val="28"/>
                <w:szCs w:val="28"/>
                <w:u w:val="none"/>
              </w:rPr>
              <w:t>地：</w:t>
            </w:r>
          </w:p>
        </w:tc>
        <w:tc>
          <w:tcPr>
            <w:tcW w:w="2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r>
      <w:tr>
        <w:tblPrEx>
          <w:tblCellMar>
            <w:top w:w="0" w:type="dxa"/>
            <w:left w:w="0" w:type="dxa"/>
            <w:bottom w:w="0" w:type="dxa"/>
            <w:right w:w="0" w:type="dxa"/>
          </w:tblCellMar>
        </w:tblPrEx>
        <w:trPr>
          <w:trHeight w:val="453" w:hRule="atLeast"/>
        </w:trPr>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生产日期：</w:t>
            </w:r>
          </w:p>
        </w:tc>
        <w:tc>
          <w:tcPr>
            <w:tcW w:w="22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c>
          <w:tcPr>
            <w:tcW w:w="1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入库日期：</w:t>
            </w:r>
          </w:p>
        </w:tc>
        <w:tc>
          <w:tcPr>
            <w:tcW w:w="2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r>
      <w:tr>
        <w:tblPrEx>
          <w:tblCellMar>
            <w:top w:w="0" w:type="dxa"/>
            <w:left w:w="0" w:type="dxa"/>
            <w:bottom w:w="0" w:type="dxa"/>
            <w:right w:w="0" w:type="dxa"/>
          </w:tblCellMar>
        </w:tblPrEx>
        <w:trPr>
          <w:trHeight w:val="453" w:hRule="atLeast"/>
        </w:trPr>
        <w:tc>
          <w:tcPr>
            <w:tcW w:w="1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 w:val="28"/>
                <w:szCs w:val="28"/>
                <w:u w:val="none"/>
              </w:rPr>
            </w:pPr>
            <w:r>
              <w:rPr>
                <w:rFonts w:hint="eastAsia" w:ascii="宋体" w:hAnsi="宋体" w:cs="宋体"/>
                <w:color w:val="auto"/>
                <w:kern w:val="0"/>
                <w:sz w:val="28"/>
                <w:szCs w:val="28"/>
                <w:u w:val="none"/>
              </w:rPr>
              <w:t>承储企业：</w:t>
            </w:r>
          </w:p>
        </w:tc>
        <w:tc>
          <w:tcPr>
            <w:tcW w:w="60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 w:val="28"/>
                <w:szCs w:val="28"/>
                <w:u w:val="none"/>
              </w:rPr>
            </w:pPr>
          </w:p>
        </w:tc>
      </w:tr>
    </w:tbl>
    <w:p>
      <w:pPr>
        <w:rPr>
          <w:color w:val="auto"/>
          <w:u w:val="none"/>
        </w:rPr>
      </w:pPr>
    </w:p>
    <w:p>
      <w:pPr>
        <w:rPr>
          <w:rFonts w:ascii="仿宋_GB2312" w:eastAsia="仿宋_GB2312"/>
          <w:b/>
          <w:color w:val="auto"/>
          <w:kern w:val="0"/>
          <w:sz w:val="32"/>
          <w:szCs w:val="32"/>
          <w:u w:val="none"/>
        </w:rPr>
      </w:pPr>
    </w:p>
    <w:p>
      <w:pPr>
        <w:rPr>
          <w:rFonts w:ascii="仿宋_GB2312" w:eastAsia="仿宋_GB2312"/>
          <w:b/>
          <w:color w:val="auto"/>
          <w:kern w:val="0"/>
          <w:sz w:val="32"/>
          <w:szCs w:val="32"/>
          <w:u w:val="none"/>
        </w:rPr>
      </w:pPr>
    </w:p>
    <w:p>
      <w:pPr>
        <w:rPr>
          <w:rFonts w:hint="eastAsia" w:ascii="仿宋_GB2312" w:eastAsia="仿宋_GB2312"/>
          <w:b/>
          <w:color w:val="auto"/>
          <w:kern w:val="0"/>
          <w:sz w:val="32"/>
          <w:szCs w:val="32"/>
          <w:u w:val="none"/>
        </w:rPr>
      </w:pPr>
    </w:p>
    <w:p>
      <w:pPr>
        <w:rPr>
          <w:rFonts w:hint="eastAsia" w:ascii="仿宋_GB2312" w:eastAsia="仿宋_GB2312"/>
          <w:b/>
          <w:color w:val="auto"/>
          <w:kern w:val="0"/>
          <w:sz w:val="32"/>
          <w:szCs w:val="32"/>
          <w:u w:val="none"/>
        </w:rPr>
      </w:pPr>
    </w:p>
    <w:p>
      <w:pPr>
        <w:rPr>
          <w:rFonts w:hint="eastAsia" w:ascii="仿宋_GB2312" w:eastAsia="仿宋_GB2312"/>
          <w:b/>
          <w:color w:val="auto"/>
          <w:kern w:val="0"/>
          <w:sz w:val="32"/>
          <w:szCs w:val="32"/>
          <w:u w:val="none"/>
        </w:rPr>
      </w:pPr>
    </w:p>
    <w:p>
      <w:pPr>
        <w:rPr>
          <w:rFonts w:hint="eastAsia" w:ascii="仿宋_GB2312" w:eastAsia="仿宋_GB2312"/>
          <w:b/>
          <w:color w:val="auto"/>
          <w:kern w:val="0"/>
          <w:sz w:val="32"/>
          <w:szCs w:val="32"/>
          <w:u w:val="none"/>
        </w:rPr>
      </w:pPr>
    </w:p>
    <w:p>
      <w:pPr>
        <w:rPr>
          <w:rFonts w:hint="eastAsia" w:ascii="仿宋_GB2312" w:eastAsia="仿宋_GB2312"/>
          <w:b/>
          <w:color w:val="auto"/>
          <w:kern w:val="0"/>
          <w:sz w:val="32"/>
          <w:szCs w:val="32"/>
          <w:u w:val="none"/>
        </w:rPr>
      </w:pPr>
    </w:p>
    <w:p>
      <w:pPr>
        <w:rPr>
          <w:rFonts w:ascii="仿宋_GB2312" w:eastAsia="仿宋_GB2312"/>
          <w:b/>
          <w:color w:val="auto"/>
          <w:kern w:val="0"/>
          <w:sz w:val="44"/>
          <w:szCs w:val="44"/>
          <w:u w:val="none"/>
        </w:rPr>
      </w:pPr>
      <w:r>
        <w:rPr>
          <w:rFonts w:hint="eastAsia" w:ascii="黑体" w:hAnsi="黑体" w:eastAsia="黑体" w:cs="黑体"/>
          <w:b w:val="0"/>
          <w:bCs/>
          <w:color w:val="auto"/>
          <w:kern w:val="0"/>
          <w:sz w:val="32"/>
          <w:szCs w:val="32"/>
          <w:u w:val="none"/>
        </w:rPr>
        <w:t>附件3</w:t>
      </w:r>
    </w:p>
    <w:p>
      <w:pPr>
        <w:jc w:val="center"/>
        <w:outlineLvl w:val="0"/>
        <w:rPr>
          <w:rFonts w:hint="eastAsia" w:ascii="方正小标宋简体" w:hAnsi="方正小标宋简体" w:eastAsia="方正小标宋简体" w:cs="方正小标宋简体"/>
          <w:b w:val="0"/>
          <w:bCs w:val="0"/>
          <w:color w:val="auto"/>
          <w:kern w:val="0"/>
          <w:sz w:val="36"/>
          <w:szCs w:val="36"/>
          <w:u w:val="none"/>
          <w:lang w:val="en-US" w:eastAsia="zh-CN"/>
        </w:rPr>
      </w:pPr>
      <w:r>
        <w:rPr>
          <w:rFonts w:hint="eastAsia" w:ascii="方正小标宋简体" w:hAnsi="方正小标宋简体" w:eastAsia="方正小标宋简体" w:cs="方正小标宋简体"/>
          <w:b w:val="0"/>
          <w:bCs w:val="0"/>
          <w:color w:val="auto"/>
          <w:kern w:val="0"/>
          <w:sz w:val="36"/>
          <w:szCs w:val="36"/>
          <w:u w:val="none"/>
          <w:lang w:val="en-US" w:eastAsia="zh-CN"/>
        </w:rPr>
        <w:t>温州市冻猪肉储备月度报表</w:t>
      </w:r>
    </w:p>
    <w:p>
      <w:pPr>
        <w:jc w:val="center"/>
        <w:outlineLvl w:val="0"/>
        <w:rPr>
          <w:rFonts w:hint="eastAsia" w:ascii="方正小标宋简体" w:hAnsi="方正小标宋简体" w:eastAsia="方正小标宋简体" w:cs="方正小标宋简体"/>
          <w:b w:val="0"/>
          <w:bCs w:val="0"/>
          <w:color w:val="auto"/>
          <w:kern w:val="0"/>
          <w:sz w:val="36"/>
          <w:szCs w:val="36"/>
          <w:u w:val="none"/>
          <w:lang w:val="en-US" w:eastAsia="zh-CN"/>
        </w:rPr>
      </w:pPr>
    </w:p>
    <w:p>
      <w:pPr>
        <w:rPr>
          <w:rFonts w:ascii="仿宋_GB2312" w:eastAsia="仿宋_GB2312"/>
          <w:color w:val="auto"/>
          <w:kern w:val="0"/>
          <w:sz w:val="32"/>
          <w:szCs w:val="32"/>
          <w:u w:val="none"/>
        </w:rPr>
      </w:pPr>
      <w:r>
        <w:rPr>
          <w:rFonts w:hint="eastAsia" w:ascii="仿宋_GB2312" w:eastAsia="仿宋_GB2312"/>
          <w:color w:val="auto"/>
          <w:kern w:val="0"/>
          <w:sz w:val="32"/>
          <w:szCs w:val="32"/>
          <w:u w:val="none"/>
        </w:rPr>
        <w:t>承储企业（盖章）：                                年    月</w:t>
      </w:r>
    </w:p>
    <w:tbl>
      <w:tblPr>
        <w:tblStyle w:val="8"/>
        <w:tblpPr w:leftFromText="180" w:rightFromText="180" w:vertAnchor="text" w:tblpY="47"/>
        <w:tblW w:w="921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1276"/>
        <w:gridCol w:w="1333"/>
        <w:gridCol w:w="1335"/>
        <w:gridCol w:w="1301"/>
        <w:gridCol w:w="20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品 名</w:t>
            </w:r>
          </w:p>
        </w:tc>
        <w:tc>
          <w:tcPr>
            <w:tcW w:w="1276"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上月</w:t>
            </w:r>
          </w:p>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库存</w:t>
            </w:r>
          </w:p>
        </w:tc>
        <w:tc>
          <w:tcPr>
            <w:tcW w:w="1333"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本月</w:t>
            </w:r>
          </w:p>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采购</w:t>
            </w:r>
          </w:p>
        </w:tc>
        <w:tc>
          <w:tcPr>
            <w:tcW w:w="1335"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本月</w:t>
            </w:r>
          </w:p>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销售</w:t>
            </w:r>
          </w:p>
        </w:tc>
        <w:tc>
          <w:tcPr>
            <w:tcW w:w="130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本月</w:t>
            </w:r>
          </w:p>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库存</w:t>
            </w:r>
          </w:p>
        </w:tc>
        <w:tc>
          <w:tcPr>
            <w:tcW w:w="2015"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储备地点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二号肉</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四号肉</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排骨肉</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中方</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五花肉</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六分体</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951" w:type="dxa"/>
            <w:vAlign w:val="center"/>
          </w:tcPr>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其 他</w:t>
            </w:r>
          </w:p>
          <w:p>
            <w:pPr>
              <w:jc w:val="center"/>
              <w:rPr>
                <w:rFonts w:ascii="仿宋_GB2312" w:eastAsia="仿宋_GB2312"/>
                <w:b/>
                <w:color w:val="auto"/>
                <w:kern w:val="0"/>
                <w:sz w:val="32"/>
                <w:szCs w:val="32"/>
                <w:u w:val="none"/>
              </w:rPr>
            </w:pPr>
            <w:r>
              <w:rPr>
                <w:rFonts w:hint="eastAsia" w:ascii="仿宋_GB2312" w:eastAsia="仿宋_GB2312"/>
                <w:b/>
                <w:color w:val="auto"/>
                <w:kern w:val="0"/>
                <w:sz w:val="32"/>
                <w:szCs w:val="32"/>
                <w:u w:val="none"/>
              </w:rPr>
              <w:t>（碎肉）</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951" w:type="dxa"/>
            <w:vAlign w:val="center"/>
          </w:tcPr>
          <w:p>
            <w:pPr>
              <w:jc w:val="center"/>
              <w:rPr>
                <w:rFonts w:hint="eastAsia" w:ascii="Calibri" w:hAnsi="Calibri" w:eastAsia="宋体" w:cs="Times New Roman"/>
                <w:color w:val="auto"/>
                <w:kern w:val="2"/>
                <w:sz w:val="21"/>
                <w:szCs w:val="24"/>
                <w:u w:val="none"/>
                <w:lang w:val="en-US" w:eastAsia="zh-CN" w:bidi="ar-SA"/>
              </w:rPr>
            </w:pPr>
            <w:r>
              <w:rPr>
                <w:rFonts w:hint="eastAsia" w:ascii="仿宋_GB2312" w:eastAsia="仿宋_GB2312"/>
                <w:b/>
                <w:color w:val="auto"/>
                <w:kern w:val="0"/>
                <w:sz w:val="32"/>
                <w:szCs w:val="32"/>
                <w:u w:val="none"/>
                <w:lang w:val="en-US" w:eastAsia="zh-CN"/>
              </w:rPr>
              <w:t>合计</w:t>
            </w:r>
          </w:p>
        </w:tc>
        <w:tc>
          <w:tcPr>
            <w:tcW w:w="1276" w:type="dxa"/>
            <w:vAlign w:val="center"/>
          </w:tcPr>
          <w:p>
            <w:pPr>
              <w:jc w:val="center"/>
              <w:rPr>
                <w:rFonts w:ascii="仿宋_GB2312" w:eastAsia="仿宋_GB2312"/>
                <w:color w:val="auto"/>
                <w:kern w:val="0"/>
                <w:sz w:val="32"/>
                <w:szCs w:val="32"/>
                <w:u w:val="none"/>
              </w:rPr>
            </w:pPr>
          </w:p>
        </w:tc>
        <w:tc>
          <w:tcPr>
            <w:tcW w:w="1333" w:type="dxa"/>
            <w:vAlign w:val="center"/>
          </w:tcPr>
          <w:p>
            <w:pPr>
              <w:jc w:val="center"/>
              <w:rPr>
                <w:rFonts w:ascii="仿宋_GB2312" w:eastAsia="仿宋_GB2312"/>
                <w:color w:val="auto"/>
                <w:kern w:val="0"/>
                <w:sz w:val="32"/>
                <w:szCs w:val="32"/>
                <w:u w:val="none"/>
              </w:rPr>
            </w:pPr>
          </w:p>
        </w:tc>
        <w:tc>
          <w:tcPr>
            <w:tcW w:w="1335" w:type="dxa"/>
            <w:vAlign w:val="center"/>
          </w:tcPr>
          <w:p>
            <w:pPr>
              <w:jc w:val="center"/>
              <w:rPr>
                <w:rFonts w:ascii="仿宋_GB2312" w:eastAsia="仿宋_GB2312"/>
                <w:color w:val="auto"/>
                <w:kern w:val="0"/>
                <w:sz w:val="32"/>
                <w:szCs w:val="32"/>
                <w:u w:val="none"/>
              </w:rPr>
            </w:pPr>
          </w:p>
        </w:tc>
        <w:tc>
          <w:tcPr>
            <w:tcW w:w="1301" w:type="dxa"/>
            <w:vAlign w:val="center"/>
          </w:tcPr>
          <w:p>
            <w:pPr>
              <w:jc w:val="center"/>
              <w:rPr>
                <w:rFonts w:ascii="仿宋_GB2312" w:eastAsia="仿宋_GB2312"/>
                <w:color w:val="auto"/>
                <w:kern w:val="0"/>
                <w:sz w:val="32"/>
                <w:szCs w:val="32"/>
                <w:u w:val="none"/>
              </w:rPr>
            </w:pPr>
          </w:p>
        </w:tc>
        <w:tc>
          <w:tcPr>
            <w:tcW w:w="2015" w:type="dxa"/>
            <w:vAlign w:val="center"/>
          </w:tcPr>
          <w:p>
            <w:pPr>
              <w:jc w:val="center"/>
              <w:rPr>
                <w:rFonts w:ascii="仿宋_GB2312" w:eastAsia="仿宋_GB2312"/>
                <w:color w:val="auto"/>
                <w:kern w:val="0"/>
                <w:sz w:val="32"/>
                <w:szCs w:val="32"/>
                <w:u w:val="none"/>
              </w:rPr>
            </w:pPr>
          </w:p>
        </w:tc>
      </w:tr>
    </w:tbl>
    <w:p>
      <w:pPr>
        <w:rPr>
          <w:rFonts w:ascii="仿宋_GB2312" w:eastAsia="仿宋_GB2312"/>
          <w:color w:val="auto"/>
          <w:kern w:val="0"/>
          <w:sz w:val="28"/>
          <w:szCs w:val="28"/>
          <w:u w:val="none"/>
        </w:rPr>
      </w:pPr>
      <w:r>
        <w:rPr>
          <w:rFonts w:hint="eastAsia" w:ascii="仿宋_GB2312" w:eastAsia="仿宋_GB2312"/>
          <w:color w:val="auto"/>
          <w:kern w:val="0"/>
          <w:sz w:val="28"/>
          <w:szCs w:val="28"/>
          <w:u w:val="none"/>
        </w:rPr>
        <w:t>填报人：                               联系电话：</w:t>
      </w:r>
    </w:p>
    <w:p>
      <w:pPr>
        <w:rPr>
          <w:rFonts w:hint="eastAsia" w:ascii="仿宋_GB2312" w:eastAsia="仿宋_GB2312"/>
          <w:color w:val="auto"/>
          <w:kern w:val="0"/>
          <w:sz w:val="28"/>
          <w:szCs w:val="28"/>
          <w:u w:val="none"/>
        </w:rPr>
      </w:pPr>
      <w:r>
        <w:rPr>
          <w:rFonts w:hint="eastAsia" w:ascii="仿宋_GB2312" w:eastAsia="仿宋_GB2312"/>
          <w:color w:val="auto"/>
          <w:kern w:val="0"/>
          <w:sz w:val="28"/>
          <w:szCs w:val="28"/>
          <w:u w:val="none"/>
        </w:rPr>
        <w:t>附注：具体明细作为附件报送。</w:t>
      </w:r>
    </w:p>
    <w:p>
      <w:pPr>
        <w:rPr>
          <w:rFonts w:hint="eastAsia" w:ascii="仿宋_GB2312" w:eastAsia="仿宋_GB2312"/>
          <w:b/>
          <w:bCs/>
          <w:color w:val="auto"/>
          <w:kern w:val="0"/>
          <w:sz w:val="28"/>
          <w:szCs w:val="28"/>
          <w:u w:val="none"/>
          <w:lang w:eastAsia="zh-CN"/>
        </w:rPr>
      </w:pPr>
    </w:p>
    <w:p>
      <w:pPr>
        <w:rPr>
          <w:rFonts w:hint="eastAsia" w:ascii="仿宋_GB2312" w:eastAsia="仿宋_GB2312"/>
          <w:b/>
          <w:bCs/>
          <w:color w:val="auto"/>
          <w:kern w:val="0"/>
          <w:sz w:val="32"/>
          <w:szCs w:val="32"/>
          <w:u w:val="none"/>
          <w:lang w:eastAsia="zh-CN"/>
        </w:rPr>
      </w:pPr>
    </w:p>
    <w:p>
      <w:pPr>
        <w:rPr>
          <w:rFonts w:hint="eastAsia" w:ascii="仿宋_GB2312" w:eastAsia="仿宋_GB2312"/>
          <w:b/>
          <w:bCs/>
          <w:color w:val="auto"/>
          <w:kern w:val="0"/>
          <w:sz w:val="32"/>
          <w:szCs w:val="32"/>
          <w:u w:val="none"/>
          <w:lang w:eastAsia="zh-CN"/>
        </w:rPr>
      </w:pPr>
    </w:p>
    <w:p>
      <w:pPr>
        <w:rPr>
          <w:rFonts w:hint="eastAsia" w:ascii="仿宋_GB2312" w:eastAsia="仿宋_GB2312"/>
          <w:b/>
          <w:bCs/>
          <w:color w:val="auto"/>
          <w:kern w:val="0"/>
          <w:sz w:val="32"/>
          <w:szCs w:val="32"/>
          <w:u w:val="none"/>
          <w:lang w:eastAsia="zh-CN"/>
        </w:rPr>
      </w:pPr>
    </w:p>
    <w:p>
      <w:pPr>
        <w:rPr>
          <w:rFonts w:hint="eastAsia" w:ascii="仿宋_GB2312" w:eastAsia="仿宋_GB2312"/>
          <w:b/>
          <w:bCs/>
          <w:color w:val="auto"/>
          <w:kern w:val="0"/>
          <w:sz w:val="32"/>
          <w:szCs w:val="32"/>
          <w:u w:val="none"/>
          <w:lang w:eastAsia="zh-CN"/>
        </w:rPr>
      </w:pPr>
    </w:p>
    <w:p>
      <w:pPr>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eastAsia="zh-CN"/>
        </w:rPr>
        <w:t>附件</w:t>
      </w:r>
      <w:r>
        <w:rPr>
          <w:rFonts w:hint="eastAsia" w:ascii="黑体" w:hAnsi="黑体" w:eastAsia="黑体" w:cs="黑体"/>
          <w:b w:val="0"/>
          <w:bCs w:val="0"/>
          <w:color w:val="auto"/>
          <w:kern w:val="0"/>
          <w:sz w:val="32"/>
          <w:szCs w:val="32"/>
          <w:u w:val="none"/>
          <w:lang w:val="en-US" w:eastAsia="zh-CN"/>
        </w:rPr>
        <w:t>4</w:t>
      </w:r>
    </w:p>
    <w:p>
      <w:pPr>
        <w:jc w:val="center"/>
        <w:outlineLvl w:val="0"/>
        <w:rPr>
          <w:rFonts w:hint="eastAsia" w:ascii="方正小标宋简体" w:hAnsi="方正小标宋简体" w:eastAsia="方正小标宋简体" w:cs="方正小标宋简体"/>
          <w:b w:val="0"/>
          <w:bCs w:val="0"/>
          <w:color w:val="auto"/>
          <w:kern w:val="0"/>
          <w:sz w:val="36"/>
          <w:szCs w:val="36"/>
          <w:u w:val="none"/>
          <w:lang w:val="en-US" w:eastAsia="zh-CN"/>
        </w:rPr>
      </w:pPr>
      <w:r>
        <w:rPr>
          <w:rFonts w:hint="eastAsia" w:ascii="方正小标宋简体" w:hAnsi="方正小标宋简体" w:eastAsia="方正小标宋简体" w:cs="方正小标宋简体"/>
          <w:b w:val="0"/>
          <w:bCs w:val="0"/>
          <w:color w:val="auto"/>
          <w:kern w:val="0"/>
          <w:sz w:val="36"/>
          <w:szCs w:val="36"/>
          <w:u w:val="none"/>
          <w:lang w:val="en-US" w:eastAsia="zh-CN"/>
        </w:rPr>
        <w:t>市级冻猪肉储备经费管理流程</w:t>
      </w:r>
    </w:p>
    <w:p>
      <w:pPr>
        <w:keepNext w:val="0"/>
        <w:keepLines w:val="0"/>
        <w:pageBreakBefore w:val="0"/>
        <w:widowControl/>
        <w:kinsoku/>
        <w:wordWrap/>
        <w:overflowPunct/>
        <w:topLinePunct w:val="0"/>
        <w:autoSpaceDE/>
        <w:autoSpaceDN/>
        <w:bidi w:val="0"/>
        <w:spacing w:line="520" w:lineRule="exact"/>
        <w:ind w:firstLine="210" w:firstLineChars="100"/>
        <w:jc w:val="both"/>
        <w:textAlignment w:val="auto"/>
        <w:outlineLvl w:val="9"/>
        <w:rPr>
          <w:rFonts w:hint="eastAsia" w:ascii="仿宋_GB2312" w:hAnsi="仿宋_GB2312" w:eastAsia="仿宋_GB2312" w:cs="仿宋_GB2312"/>
          <w:color w:val="auto"/>
          <w:sz w:val="28"/>
          <w:szCs w:val="28"/>
          <w:lang w:val="en-US" w:eastAsia="zh-CN"/>
        </w:rPr>
      </w:pPr>
      <w:r>
        <w:rPr>
          <w:color w:val="auto"/>
          <w:u w:val="none"/>
        </w:rPr>
        <mc:AlternateContent>
          <mc:Choice Requires="wpg">
            <w:drawing>
              <wp:anchor distT="0" distB="0" distL="114300" distR="114300" simplePos="0" relativeHeight="251662336" behindDoc="0" locked="0" layoutInCell="1" allowOverlap="1">
                <wp:simplePos x="0" y="0"/>
                <wp:positionH relativeFrom="column">
                  <wp:posOffset>817245</wp:posOffset>
                </wp:positionH>
                <wp:positionV relativeFrom="paragraph">
                  <wp:posOffset>490855</wp:posOffset>
                </wp:positionV>
                <wp:extent cx="3904615" cy="6581140"/>
                <wp:effectExtent l="6350" t="6350" r="13335" b="22860"/>
                <wp:wrapNone/>
                <wp:docPr id="4" name="组合 30"/>
                <wp:cNvGraphicFramePr/>
                <a:graphic xmlns:a="http://schemas.openxmlformats.org/drawingml/2006/main">
                  <a:graphicData uri="http://schemas.microsoft.com/office/word/2010/wordprocessingGroup">
                    <wpg:wgp>
                      <wpg:cNvGrpSpPr/>
                      <wpg:grpSpPr>
                        <a:xfrm>
                          <a:off x="0" y="0"/>
                          <a:ext cx="3904615" cy="6581140"/>
                          <a:chOff x="2801" y="5001"/>
                          <a:chExt cx="4532" cy="8548"/>
                        </a:xfrm>
                        <a:effectLst/>
                      </wpg:grpSpPr>
                      <wps:wsp>
                        <wps:cNvPr id="6" name="矩形 3"/>
                        <wps:cNvSpPr/>
                        <wps:spPr>
                          <a:xfrm>
                            <a:off x="3829" y="6790"/>
                            <a:ext cx="2476"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储管中心上报年度预算</w:t>
                              </w:r>
                            </w:p>
                          </w:txbxContent>
                        </wps:txbx>
                        <wps:bodyPr rtlCol="0" anchor="ctr" anchorCtr="0"/>
                      </wps:wsp>
                      <wps:wsp>
                        <wps:cNvPr id="7" name="矩形 4"/>
                        <wps:cNvSpPr/>
                        <wps:spPr>
                          <a:xfrm>
                            <a:off x="3789" y="7620"/>
                            <a:ext cx="2555"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市粮食和物资储备局审核</w:t>
                              </w:r>
                            </w:p>
                          </w:txbxContent>
                        </wps:txbx>
                        <wps:bodyPr rtlCol="0" anchor="ctr" anchorCtr="0"/>
                      </wps:wsp>
                      <wps:wsp>
                        <wps:cNvPr id="8" name="矩形 5"/>
                        <wps:cNvSpPr/>
                        <wps:spPr>
                          <a:xfrm>
                            <a:off x="4145" y="8461"/>
                            <a:ext cx="1843"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报市财政局审批</w:t>
                              </w:r>
                            </w:p>
                          </w:txbxContent>
                        </wps:txbx>
                        <wps:bodyPr rtlCol="0" anchor="ctr" anchorCtr="0"/>
                      </wps:wsp>
                      <wps:wsp>
                        <wps:cNvPr id="9" name="矩形 6"/>
                        <wps:cNvSpPr/>
                        <wps:spPr>
                          <a:xfrm>
                            <a:off x="3789" y="9345"/>
                            <a:ext cx="2556"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资金直接拨付至储管中心</w:t>
                              </w:r>
                            </w:p>
                          </w:txbxContent>
                        </wps:txbx>
                        <wps:bodyPr rtlCol="0" anchor="ctr" anchorCtr="0"/>
                      </wps:wsp>
                      <wps:wsp>
                        <wps:cNvPr id="10" name="矩形 7"/>
                        <wps:cNvSpPr/>
                        <wps:spPr>
                          <a:xfrm>
                            <a:off x="3806" y="10238"/>
                            <a:ext cx="2522"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储管中心组织招标</w:t>
                              </w:r>
                            </w:p>
                          </w:txbxContent>
                        </wps:txbx>
                        <wps:bodyPr rtlCol="0" anchor="ctr" anchorCtr="0"/>
                      </wps:wsp>
                      <wps:wsp>
                        <wps:cNvPr id="11" name="矩形 8"/>
                        <wps:cNvSpPr/>
                        <wps:spPr>
                          <a:xfrm>
                            <a:off x="3681" y="11126"/>
                            <a:ext cx="2771"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储管中心与企业签订合同</w:t>
                              </w:r>
                            </w:p>
                          </w:txbxContent>
                        </wps:txbx>
                        <wps:bodyPr rtlCol="0" anchor="ctr" anchorCtr="0"/>
                      </wps:wsp>
                      <wps:wsp>
                        <wps:cNvPr id="12" name="矩形 9"/>
                        <wps:cNvSpPr/>
                        <wps:spPr>
                          <a:xfrm>
                            <a:off x="3630" y="12066"/>
                            <a:ext cx="2874"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每季度支付15%，共支付60%</w:t>
                              </w:r>
                            </w:p>
                          </w:txbxContent>
                        </wps:txbx>
                        <wps:bodyPr rtlCol="0" anchor="ctr" anchorCtr="0"/>
                      </wps:wsp>
                      <wps:wsp>
                        <wps:cNvPr id="13" name="矩形 10"/>
                        <wps:cNvSpPr/>
                        <wps:spPr>
                          <a:xfrm>
                            <a:off x="2801" y="13039"/>
                            <a:ext cx="4532"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合同到期后，根据检查、考核情况，支付40%</w:t>
                              </w:r>
                            </w:p>
                          </w:txbxContent>
                        </wps:txbx>
                        <wps:bodyPr rtlCol="0" anchor="ctr" anchorCtr="0"/>
                      </wps:wsp>
                      <wps:wsp>
                        <wps:cNvPr id="22" name="矩形 21"/>
                        <wps:cNvSpPr/>
                        <wps:spPr>
                          <a:xfrm>
                            <a:off x="3606" y="5895"/>
                            <a:ext cx="2921"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市局下达年度采购计划</w:t>
                              </w:r>
                            </w:p>
                          </w:txbxContent>
                        </wps:txbx>
                        <wps:bodyPr rtlCol="0" anchor="ctr" anchorCtr="0"/>
                      </wps:wsp>
                      <wps:wsp>
                        <wps:cNvPr id="14" name="矩形 1"/>
                        <wps:cNvSpPr/>
                        <wps:spPr>
                          <a:xfrm>
                            <a:off x="3439" y="5001"/>
                            <a:ext cx="3255" cy="510"/>
                          </a:xfrm>
                          <a:prstGeom prst="rect">
                            <a:avLst/>
                          </a:prstGeom>
                          <a:solidFill>
                            <a:srgbClr val="FFFFFF"/>
                          </a:solidFill>
                          <a:ln w="12700" cap="flat" cmpd="sng" algn="ctr">
                            <a:solidFill>
                              <a:srgbClr val="000000"/>
                            </a:solidFill>
                            <a:prstDash val="solid"/>
                            <a:tailEnd type="triangle"/>
                          </a:ln>
                          <a:effectLst/>
                        </wps:spPr>
                        <wps:txb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市政府或市发改委下达储备任务</w:t>
                              </w:r>
                            </w:p>
                          </w:txbxContent>
                        </wps:txbx>
                        <wps:bodyPr vertOverflow="overflow" horzOverflow="overflow" vert="horz" wrap="square" numCol="1" spcCol="0" rtlCol="0" fromWordArt="0" anchor="ctr" anchorCtr="0" forceAA="0" compatLnSpc="1">
                          <a:noAutofit/>
                        </wps:bodyPr>
                      </wps:wsp>
                      <wps:wsp>
                        <wps:cNvPr id="15" name="直接箭头连接符 14"/>
                        <wps:cNvCnPr>
                          <a:stCxn id="2" idx="2"/>
                          <a:endCxn id="22" idx="0"/>
                        </wps:cNvCnPr>
                        <wps:spPr>
                          <a:xfrm>
                            <a:off x="5067" y="5511"/>
                            <a:ext cx="0" cy="384"/>
                          </a:xfrm>
                          <a:prstGeom prst="straightConnector1">
                            <a:avLst/>
                          </a:prstGeom>
                          <a:noFill/>
                          <a:ln w="12700" cap="flat" cmpd="sng" algn="ctr">
                            <a:solidFill>
                              <a:srgbClr val="000000"/>
                            </a:solidFill>
                            <a:prstDash val="solid"/>
                            <a:tailEnd type="triangle"/>
                          </a:ln>
                          <a:effectLst/>
                        </wps:spPr>
                        <wps:bodyPr/>
                      </wps:wsp>
                      <wps:wsp>
                        <wps:cNvPr id="17" name="直接箭头连接符 16"/>
                        <wps:cNvCnPr>
                          <a:stCxn id="22" idx="2"/>
                          <a:endCxn id="4" idx="0"/>
                        </wps:cNvCnPr>
                        <wps:spPr>
                          <a:xfrm>
                            <a:off x="5067" y="6405"/>
                            <a:ext cx="0" cy="385"/>
                          </a:xfrm>
                          <a:prstGeom prst="straightConnector1">
                            <a:avLst/>
                          </a:prstGeom>
                          <a:noFill/>
                          <a:ln w="12700" cap="flat" cmpd="sng" algn="ctr">
                            <a:solidFill>
                              <a:srgbClr val="000000"/>
                            </a:solidFill>
                            <a:prstDash val="solid"/>
                            <a:tailEnd type="triangle"/>
                          </a:ln>
                          <a:effectLst/>
                        </wps:spPr>
                        <wps:bodyPr/>
                      </wps:wsp>
                      <wps:wsp>
                        <wps:cNvPr id="19" name="直接箭头连接符 18"/>
                        <wps:cNvCnPr>
                          <a:stCxn id="4" idx="2"/>
                          <a:endCxn id="5" idx="0"/>
                        </wps:cNvCnPr>
                        <wps:spPr>
                          <a:xfrm>
                            <a:off x="5067" y="7300"/>
                            <a:ext cx="0" cy="320"/>
                          </a:xfrm>
                          <a:prstGeom prst="straightConnector1">
                            <a:avLst/>
                          </a:prstGeom>
                          <a:noFill/>
                          <a:ln w="12700" cap="flat" cmpd="sng" algn="ctr">
                            <a:solidFill>
                              <a:srgbClr val="000000"/>
                            </a:solidFill>
                            <a:prstDash val="solid"/>
                            <a:tailEnd type="triangle"/>
                          </a:ln>
                          <a:effectLst/>
                        </wps:spPr>
                        <wps:bodyPr/>
                      </wps:wsp>
                      <wps:wsp>
                        <wps:cNvPr id="20" name="直接箭头连接符 19"/>
                        <wps:cNvCnPr>
                          <a:stCxn id="5" idx="2"/>
                          <a:endCxn id="6" idx="0"/>
                        </wps:cNvCnPr>
                        <wps:spPr>
                          <a:xfrm>
                            <a:off x="5067" y="8130"/>
                            <a:ext cx="0" cy="331"/>
                          </a:xfrm>
                          <a:prstGeom prst="straightConnector1">
                            <a:avLst/>
                          </a:prstGeom>
                          <a:noFill/>
                          <a:ln w="12700" cap="flat" cmpd="sng" algn="ctr">
                            <a:solidFill>
                              <a:srgbClr val="000000"/>
                            </a:solidFill>
                            <a:prstDash val="solid"/>
                            <a:tailEnd type="triangle"/>
                          </a:ln>
                          <a:effectLst/>
                        </wps:spPr>
                        <wps:bodyPr/>
                      </wps:wsp>
                      <wps:wsp>
                        <wps:cNvPr id="21" name="直接箭头连接符 20"/>
                        <wps:cNvCnPr>
                          <a:stCxn id="6" idx="2"/>
                          <a:endCxn id="7" idx="0"/>
                        </wps:cNvCnPr>
                        <wps:spPr>
                          <a:xfrm>
                            <a:off x="5067" y="8971"/>
                            <a:ext cx="0" cy="374"/>
                          </a:xfrm>
                          <a:prstGeom prst="straightConnector1">
                            <a:avLst/>
                          </a:prstGeom>
                          <a:noFill/>
                          <a:ln w="12700" cap="flat" cmpd="sng" algn="ctr">
                            <a:solidFill>
                              <a:srgbClr val="000000"/>
                            </a:solidFill>
                            <a:prstDash val="solid"/>
                            <a:tailEnd type="triangle"/>
                          </a:ln>
                          <a:effectLst/>
                        </wps:spPr>
                        <wps:bodyPr/>
                      </wps:wsp>
                      <wps:wsp>
                        <wps:cNvPr id="25" name="直接箭头连接符 24"/>
                        <wps:cNvCnPr>
                          <a:stCxn id="7" idx="2"/>
                          <a:endCxn id="8" idx="0"/>
                        </wps:cNvCnPr>
                        <wps:spPr>
                          <a:xfrm>
                            <a:off x="5067" y="9855"/>
                            <a:ext cx="0" cy="383"/>
                          </a:xfrm>
                          <a:prstGeom prst="straightConnector1">
                            <a:avLst/>
                          </a:prstGeom>
                          <a:noFill/>
                          <a:ln w="12700" cap="flat" cmpd="sng" algn="ctr">
                            <a:solidFill>
                              <a:srgbClr val="000000"/>
                            </a:solidFill>
                            <a:prstDash val="solid"/>
                            <a:tailEnd type="triangle"/>
                          </a:ln>
                          <a:effectLst/>
                        </wps:spPr>
                        <wps:bodyPr/>
                      </wps:wsp>
                      <wps:wsp>
                        <wps:cNvPr id="26" name="直接箭头连接符 25"/>
                        <wps:cNvCnPr>
                          <a:stCxn id="8" idx="2"/>
                          <a:endCxn id="9" idx="0"/>
                        </wps:cNvCnPr>
                        <wps:spPr>
                          <a:xfrm>
                            <a:off x="5067" y="10748"/>
                            <a:ext cx="0" cy="378"/>
                          </a:xfrm>
                          <a:prstGeom prst="straightConnector1">
                            <a:avLst/>
                          </a:prstGeom>
                          <a:noFill/>
                          <a:ln w="12700" cap="flat" cmpd="sng" algn="ctr">
                            <a:solidFill>
                              <a:srgbClr val="000000"/>
                            </a:solidFill>
                            <a:prstDash val="solid"/>
                            <a:tailEnd type="triangle"/>
                          </a:ln>
                          <a:effectLst/>
                        </wps:spPr>
                        <wps:bodyPr/>
                      </wps:wsp>
                      <wps:wsp>
                        <wps:cNvPr id="27" name="直接箭头连接符 26"/>
                        <wps:cNvCnPr>
                          <a:stCxn id="9" idx="2"/>
                          <a:endCxn id="10" idx="0"/>
                        </wps:cNvCnPr>
                        <wps:spPr>
                          <a:xfrm>
                            <a:off x="5067" y="11636"/>
                            <a:ext cx="0" cy="430"/>
                          </a:xfrm>
                          <a:prstGeom prst="straightConnector1">
                            <a:avLst/>
                          </a:prstGeom>
                          <a:noFill/>
                          <a:ln w="12700" cap="flat" cmpd="sng" algn="ctr">
                            <a:solidFill>
                              <a:srgbClr val="000000"/>
                            </a:solidFill>
                            <a:prstDash val="solid"/>
                            <a:tailEnd type="triangle"/>
                          </a:ln>
                          <a:effectLst/>
                        </wps:spPr>
                        <wps:bodyPr/>
                      </wps:wsp>
                      <wps:wsp>
                        <wps:cNvPr id="28" name="直接箭头连接符 27"/>
                        <wps:cNvCnPr>
                          <a:stCxn id="10" idx="2"/>
                          <a:endCxn id="11" idx="0"/>
                        </wps:cNvCnPr>
                        <wps:spPr>
                          <a:xfrm>
                            <a:off x="5067" y="12576"/>
                            <a:ext cx="0" cy="463"/>
                          </a:xfrm>
                          <a:prstGeom prst="straightConnector1">
                            <a:avLst/>
                          </a:prstGeom>
                          <a:noFill/>
                          <a:ln w="12700" cap="flat" cmpd="sng" algn="ctr">
                            <a:solidFill>
                              <a:srgbClr val="000000"/>
                            </a:solidFill>
                            <a:prstDash val="solid"/>
                            <a:tailEnd type="triangle"/>
                          </a:ln>
                          <a:effectLst/>
                        </wps:spPr>
                        <wps:bodyPr/>
                      </wps:wsp>
                    </wpg:wgp>
                  </a:graphicData>
                </a:graphic>
              </wp:anchor>
            </w:drawing>
          </mc:Choice>
          <mc:Fallback>
            <w:pict>
              <v:group id="组合 30" o:spid="_x0000_s1026" o:spt="203" style="position:absolute;left:0pt;margin-left:64.35pt;margin-top:38.65pt;height:518.2pt;width:307.45pt;z-index:251662336;mso-width-relative:page;mso-height-relative:page;" coordorigin="2801,5001" coordsize="4532,8548" o:gfxdata="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">
                <o:lock v:ext="edit" aspectratio="f"/>
                <v:rect id="矩形 3" o:spid="_x0000_s1026" o:spt="1" style="position:absolute;left:3829;top:6790;height:510;width:2476;v-text-anchor:middle;" fillcolor="#FFFFFF" filled="t" stroked="t" coordsize="21600,21600" o:gfxdata="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luK+8AAAA&#10;2gAAAA8AAAAAAAAAAQAgAAAAIgAAAGRycy9kb3ducmV2LnhtbFBLAQIUABQAAAAIAIdO4kAzLwWe&#10;OwAAADkAAAAQAAAAAAAAAAEAIAAAAAsBAABkcnMvc2hhcGV4bWwueG1sUEsFBgAAAAAGAAYAWwEA&#10;ALUDA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储管中心上报年度预算</w:t>
                        </w:r>
                      </w:p>
                    </w:txbxContent>
                  </v:textbox>
                </v:rect>
                <v:rect id="矩形 4" o:spid="_x0000_s1026" o:spt="1" style="position:absolute;left:3789;top:7620;height:510;width:2555;v-text-anchor:middle;" fillcolor="#FFFFFF" filled="t" stroked="t" coordsize="21600,21600" o:gfxdata="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pHTS8AAAA&#10;2gAAAA8AAAAAAAAAAQAgAAAAIgAAAGRycy9kb3ducmV2LnhtbFBLAQIUABQAAAAIAIdO4kAzLwWe&#10;OwAAADkAAAAQAAAAAAAAAAEAIAAAAAsBAABkcnMvc2hhcGV4bWwueG1sUEsFBgAAAAAGAAYAWwEA&#10;ALUDA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市粮食和物资储备局审核</w:t>
                        </w:r>
                      </w:p>
                    </w:txbxContent>
                  </v:textbox>
                </v:rect>
                <v:rect id="矩形 5" o:spid="_x0000_s1026" o:spt="1" style="position:absolute;left:4145;top:8461;height:510;width:1843;v-text-anchor:middle;" fillcolor="#FFFFFF" filled="t" stroked="t" coordsize="21600,21600" o:gfxdata="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T2iUa5AAAA2gAA&#10;AA8AAAAAAAAAAQAgAAAAIgAAAGRycy9kb3ducmV2LnhtbFBLAQIUABQAAAAIAIdO4kAzLwWeOwAA&#10;ADkAAAAQAAAAAAAAAAEAIAAAAAgBAABkcnMvc2hhcGV4bWwueG1sUEsFBgAAAAAGAAYAWwEAALID&#10;A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报市财政局审批</w:t>
                        </w:r>
                      </w:p>
                    </w:txbxContent>
                  </v:textbox>
                </v:rect>
                <v:rect id="矩形 6" o:spid="_x0000_s1026" o:spt="1" style="position:absolute;left:3789;top:9345;height:510;width:2556;v-text-anchor:middle;" fillcolor="#FFFFFF" filled="t" stroked="t" coordsize="21600,21600" o:gfxdata="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uizdvQAA&#10;ANoAAAAPAAAAAAAAAAEAIAAAACIAAABkcnMvZG93bnJldi54bWxQSwECFAAUAAAACACHTuJAMy8F&#10;njsAAAA5AAAAEAAAAAAAAAABACAAAAAMAQAAZHJzL3NoYXBleG1sLnhtbFBLBQYAAAAABgAGAFsB&#10;AAC2Aw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资金直接拨付至储管中心</w:t>
                        </w:r>
                      </w:p>
                    </w:txbxContent>
                  </v:textbox>
                </v:rect>
                <v:rect id="矩形 7" o:spid="_x0000_s1026" o:spt="1" style="position:absolute;left:3806;top:10238;height:510;width:2522;v-text-anchor:middle;" fillcolor="#FFFFFF" filled="t" stroked="t" coordsize="21600,21600" o:gfxdata="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A1WhL4A&#10;AADbAAAADwAAAAAAAAABACAAAAAiAAAAZHJzL2Rvd25yZXYueG1sUEsBAhQAFAAAAAgAh07iQDMv&#10;BZ47AAAAOQAAABAAAAAAAAAAAQAgAAAADQEAAGRycy9zaGFwZXhtbC54bWxQSwUGAAAAAAYABgBb&#10;AQAAtwM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储管中心组织招标</w:t>
                        </w:r>
                      </w:p>
                    </w:txbxContent>
                  </v:textbox>
                </v:rect>
                <v:rect id="矩形 8" o:spid="_x0000_s1026" o:spt="1" style="position:absolute;left:3681;top:11126;height:510;width:2771;v-text-anchor:middle;" fillcolor="#FFFFFF" filled="t" stroked="t" coordsize="21600,21600" o:gfxdata="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QfMfugAAANsA&#10;AAAPAAAAAAAAAAEAIAAAACIAAABkcnMvZG93bnJldi54bWxQSwECFAAUAAAACACHTuJAMy8FnjsA&#10;AAA5AAAAEAAAAAAAAAABACAAAAAJAQAAZHJzL3NoYXBleG1sLnhtbFBLBQYAAAAABgAGAFsBAACz&#10;Aw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储管中心与企业签订合同</w:t>
                        </w:r>
                      </w:p>
                    </w:txbxContent>
                  </v:textbox>
                </v:rect>
                <v:rect id="矩形 9" o:spid="_x0000_s1026" o:spt="1" style="position:absolute;left:3630;top:12066;height:510;width:2874;v-text-anchor:middle;" fillcolor="#FFFFFF" filled="t" stroked="t" coordsize="21600,21600" o:gfxdata="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21ougAAANsA&#10;AAAPAAAAAAAAAAEAIAAAACIAAABkcnMvZG93bnJldi54bWxQSwECFAAUAAAACACHTuJAMy8FnjsA&#10;AAA5AAAAEAAAAAAAAAABACAAAAAJAQAAZHJzL3NoYXBleG1sLnhtbFBLBQYAAAAABgAGAFsBAACz&#10;Aw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每季度支付15%，共支付60%</w:t>
                        </w:r>
                      </w:p>
                    </w:txbxContent>
                  </v:textbox>
                </v:rect>
                <v:rect id="矩形 10" o:spid="_x0000_s1026" o:spt="1" style="position:absolute;left:2801;top:13039;height:510;width:4532;v-text-anchor:middle;" fillcolor="#FFFFFF" filled="t" stroked="t" coordsize="21600,21600" o:gfxdata="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N/I87sAAADb&#10;AAAADwAAAAAAAAABACAAAAAiAAAAZHJzL2Rvd25yZXYueG1sUEsBAhQAFAAAAAgAh07iQDMvBZ47&#10;AAAAOQAAABAAAAAAAAAAAQAgAAAACgEAAGRycy9zaGFwZXhtbC54bWxQSwUGAAAAAAYABgBbAQAA&#10;tAM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合同到期后，根据检查、考核情况，支付40%</w:t>
                        </w:r>
                      </w:p>
                    </w:txbxContent>
                  </v:textbox>
                </v:rect>
                <v:rect id="矩形 21" o:spid="_x0000_s1026" o:spt="1" style="position:absolute;left:3606;top:5895;height:510;width:2921;v-text-anchor:middle;" fillcolor="#FFFFFF" filled="t" stroked="t" coordsize="21600,21600" o:gfxdata="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6fVvQAA&#10;ANsAAAAPAAAAAAAAAAEAIAAAACIAAABkcnMvZG93bnJldi54bWxQSwECFAAUAAAACACHTuJAMy8F&#10;njsAAAA5AAAAEAAAAAAAAAABACAAAAAMAQAAZHJzL3NoYXBleG1sLnhtbFBLBQYAAAAABgAGAFsB&#10;AAC2Aw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市局下达年度采购计划</w:t>
                        </w:r>
                      </w:p>
                    </w:txbxContent>
                  </v:textbox>
                </v:rect>
                <v:rect id="矩形 1" o:spid="_x0000_s1026" o:spt="1" style="position:absolute;left:3439;top:5001;height:510;width:3255;v-text-anchor:middle;" fillcolor="#FFFFFF" filled="t" stroked="t" coordsize="21600,21600" o:gfxdata="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ZQh7sAAADb&#10;AAAADwAAAAAAAAABACAAAAAiAAAAZHJzL2Rvd25yZXYueG1sUEsBAhQAFAAAAAgAh07iQDMvBZ47&#10;AAAAOQAAABAAAAAAAAAAAQAgAAAACgEAAGRycy9zaGFwZXhtbC54bWxQSwUGAAAAAAYABgBbAQAA&#10;tAMAAAAA&#10;">
                  <v:fill on="t" focussize="0,0"/>
                  <v:stroke weight="1pt" color="#000000" joinstyle="round" endarrow="block"/>
                  <v:imagedata o:title=""/>
                  <o:lock v:ext="edit" aspectratio="f"/>
                  <v:textbox>
                    <w:txbxContent>
                      <w:p>
                        <w:pPr>
                          <w:pStyle w:val="6"/>
                          <w:kinsoku/>
                          <w:ind w:left="0"/>
                          <w:jc w:val="center"/>
                          <w:textAlignment w:val="top"/>
                        </w:pPr>
                        <w:r>
                          <w:rPr>
                            <w:rFonts w:asciiTheme="minorAscii" w:hAnsiTheme="minorBidi" w:eastAsiaTheme="minorEastAsia"/>
                            <w:color w:val="000000" w:themeColor="dark1"/>
                            <w:kern w:val="24"/>
                            <w:sz w:val="20"/>
                            <w:szCs w:val="20"/>
                            <w14:textFill>
                              <w14:solidFill>
                                <w14:schemeClr w14:val="dk1"/>
                              </w14:solidFill>
                            </w14:textFill>
                          </w:rPr>
                          <w:t>市政府或市发改委下达储备任务</w:t>
                        </w:r>
                      </w:p>
                    </w:txbxContent>
                  </v:textbox>
                </v:rect>
                <v:shape id="直接箭头连接符 14" o:spid="_x0000_s1026" o:spt="32" type="#_x0000_t32" style="position:absolute;left:5067;top:5511;height:384;width:0;" filled="f" stroked="t" coordsize="21600,21600" o:gfxdata="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t+yNC2AAAA2wAAAA8A&#10;AAAAAAAAAQAgAAAAIgAAAGRycy9kb3ducmV2LnhtbFBLAQIUABQAAAAIAIdO4kAzLwWeOwAAADkA&#10;AAAQAAAAAAAAAAEAIAAAAAUBAABkcnMvc2hhcGV4bWwueG1sUEsFBgAAAAAGAAYAWwEAAK8DAAAA&#10;AA==&#10;">
                  <v:fill on="f" focussize="0,0"/>
                  <v:stroke weight="1pt" color="#000000" joinstyle="round" endarrow="block"/>
                  <v:imagedata o:title=""/>
                  <o:lock v:ext="edit" aspectratio="f"/>
                </v:shape>
                <v:shape id="直接箭头连接符 16" o:spid="_x0000_s1026" o:spt="32" type="#_x0000_t32" style="position:absolute;left:5067;top:6405;height:385;width:0;" filled="f" stroked="t" coordsize="21600,21600" o:gfxdata="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g8zy5AAAA2w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shape>
                <v:shape id="直接箭头连接符 18" o:spid="_x0000_s1026" o:spt="32" type="#_x0000_t32" style="position:absolute;left:5067;top:7300;height:320;width:0;" filled="f" stroked="t" coordsize="21600,21600" o:gfxdata="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zwtW5AAAA2wAA&#10;AA8AAAAAAAAAAQAgAAAAIgAAAGRycy9kb3ducmV2LnhtbFBLAQIUABQAAAAIAIdO4kAzLwWeOwAA&#10;ADkAAAAQAAAAAAAAAAEAIAAAAAgBAABkcnMvc2hhcGV4bWwueG1sUEsFBgAAAAAGAAYAWwEAALID&#10;AAAAAA==&#10;">
                  <v:fill on="f" focussize="0,0"/>
                  <v:stroke weight="1pt" color="#000000" joinstyle="round" endarrow="block"/>
                  <v:imagedata o:title=""/>
                  <o:lock v:ext="edit" aspectratio="f"/>
                </v:shape>
                <v:shape id="直接箭头连接符 19" o:spid="_x0000_s1026" o:spt="32" type="#_x0000_t32" style="position:absolute;left:5067;top:8130;height:331;width:0;" filled="f" stroked="t" coordsize="21600,21600" o:gfxdata="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1ZaH1tAAAANsAAAAPAAAA&#10;AAAAAAEAIAAAACIAAABkcnMvZG93bnJldi54bWxQSwECFAAUAAAACACHTuJAMy8FnjsAAAA5AAAA&#10;EAAAAAAAAAABACAAAAADAQAAZHJzL3NoYXBleG1sLnhtbFBLBQYAAAAABgAGAFsBAACtAwAAAAA=&#10;">
                  <v:fill on="f" focussize="0,0"/>
                  <v:stroke weight="1pt" color="#000000" joinstyle="round" endarrow="block"/>
                  <v:imagedata o:title=""/>
                  <o:lock v:ext="edit" aspectratio="f"/>
                </v:shape>
                <v:shape id="直接箭头连接符 20" o:spid="_x0000_s1026" o:spt="32" type="#_x0000_t32" style="position:absolute;left:5067;top:8971;height:374;width:0;" filled="f" stroked="t" coordsize="21600,21600" o:gfxdata="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KQRuugAAANsA&#10;AAAPAAAAAAAAAAEAIAAAACIAAABkcnMvZG93bnJldi54bWxQSwECFAAUAAAACACHTuJAMy8FnjsA&#10;AAA5AAAAEAAAAAAAAAABACAAAAAJAQAAZHJzL3NoYXBleG1sLnhtbFBLBQYAAAAABgAGAFsBAACz&#10;AwAAAAA=&#10;">
                  <v:fill on="f" focussize="0,0"/>
                  <v:stroke weight="1pt" color="#000000" joinstyle="round" endarrow="block"/>
                  <v:imagedata o:title=""/>
                  <o:lock v:ext="edit" aspectratio="f"/>
                </v:shape>
                <v:shape id="直接箭头连接符 24" o:spid="_x0000_s1026" o:spt="32" type="#_x0000_t32" style="position:absolute;left:5067;top:9855;height:383;width:0;" filled="f" stroked="t" coordsize="21600,21600" o:gfxdata="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SAm28AAAA&#10;2wAAAA8AAAAAAAAAAQAgAAAAIgAAAGRycy9kb3ducmV2LnhtbFBLAQIUABQAAAAIAIdO4kAzLwWe&#10;OwAAADkAAAAQAAAAAAAAAAEAIAAAAAsBAABkcnMvc2hhcGV4bWwueG1sUEsFBgAAAAAGAAYAWwEA&#10;ALUDAAAAAA==&#10;">
                  <v:fill on="f" focussize="0,0"/>
                  <v:stroke weight="1pt" color="#000000" joinstyle="round" endarrow="block"/>
                  <v:imagedata o:title=""/>
                  <o:lock v:ext="edit" aspectratio="f"/>
                </v:shape>
                <v:shape id="直接箭头连接符 25" o:spid="_x0000_s1026" o:spt="32" type="#_x0000_t32" style="position:absolute;left:5067;top:10748;height:378;width:0;" filled="f" stroked="t" coordsize="21600,21600" o:gfxdata="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wJwaugAAANsA&#10;AAAPAAAAAAAAAAEAIAAAACIAAABkcnMvZG93bnJldi54bWxQSwECFAAUAAAACACHTuJAMy8FnjsA&#10;AAA5AAAAEAAAAAAAAAABACAAAAAJAQAAZHJzL3NoYXBleG1sLnhtbFBLBQYAAAAABgAGAFsBAACz&#10;AwAAAAA=&#10;">
                  <v:fill on="f" focussize="0,0"/>
                  <v:stroke weight="1pt" color="#000000" joinstyle="round" endarrow="block"/>
                  <v:imagedata o:title=""/>
                  <o:lock v:ext="edit" aspectratio="f"/>
                </v:shape>
                <v:shape id="直接箭头连接符 26" o:spid="_x0000_s1026" o:spt="32" type="#_x0000_t32" style="position:absolute;left:5067;top:11636;height:430;width:0;" filled="f" stroked="t" coordsize="21600,21600" o:gfxdata="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MOYG8AAAA&#10;2wAAAA8AAAAAAAAAAQAgAAAAIgAAAGRycy9kb3ducmV2LnhtbFBLAQIUABQAAAAIAIdO4kAzLwWe&#10;OwAAADkAAAAQAAAAAAAAAAEAIAAAAAsBAABkcnMvc2hhcGV4bWwueG1sUEsFBgAAAAAGAAYAWwEA&#10;ALUDAAAAAA==&#10;">
                  <v:fill on="f" focussize="0,0"/>
                  <v:stroke weight="1pt" color="#000000" joinstyle="round" endarrow="block"/>
                  <v:imagedata o:title=""/>
                  <o:lock v:ext="edit" aspectratio="f"/>
                </v:shape>
                <v:shape id="直接箭头连接符 27" o:spid="_x0000_s1026" o:spt="32" type="#_x0000_t32" style="position:absolute;left:5067;top:12576;height:463;width:0;" filled="f" stroked="t" coordsize="21600,21600" o:gfxdata="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LE63ztAAAANsAAAAPAAAA&#10;AAAAAAEAIAAAACIAAABkcnMvZG93bnJldi54bWxQSwECFAAUAAAACACHTuJAMy8FnjsAAAA5AAAA&#10;EAAAAAAAAAABACAAAAADAQAAZHJzL3NoYXBleG1sLnhtbFBLBQYAAAAABgAGAFsBAACtAwAAAAA=&#10;">
                  <v:fill on="f" focussize="0,0"/>
                  <v:stroke weight="1pt" color="#000000" joinstyle="round" endarrow="block"/>
                  <v:imagedata o:title=""/>
                  <o:lock v:ext="edit" aspectratio="f"/>
                </v:shape>
              </v:group>
            </w:pict>
          </mc:Fallback>
        </mc:AlternateContent>
      </w:r>
    </w:p>
    <w:sectPr>
      <w:headerReference r:id="rId3" w:type="default"/>
      <w:footerReference r:id="rId4" w:type="default"/>
      <w:pgSz w:w="11906" w:h="16838"/>
      <w:pgMar w:top="1440" w:right="1531" w:bottom="1134" w:left="1531" w:header="567" w:footer="624"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0" w:lineRule="atLeast"/>
    </w:pPr>
    <w:r>
      <mc:AlternateContent>
        <mc:Choice Requires="wps">
          <w:drawing>
            <wp:anchor distT="0" distB="0" distL="114300" distR="114300" simplePos="0" relativeHeight="251675648" behindDoc="1" locked="0" layoutInCell="1" allowOverlap="1">
              <wp:simplePos x="0" y="0"/>
              <wp:positionH relativeFrom="page">
                <wp:posOffset>1259840</wp:posOffset>
              </wp:positionH>
              <wp:positionV relativeFrom="page">
                <wp:posOffset>539750</wp:posOffset>
              </wp:positionV>
              <wp:extent cx="5471795" cy="179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71795"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99.2pt;margin-top:42.5pt;height:14.15pt;width:430.85pt;mso-position-horizontal-relative:page;mso-position-vertical-relative:page;z-index:-251640832;mso-width-relative:page;mso-height-relative:page;" filled="f" stroked="f" coordsize="21600,21600" o:gfxdata="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fE6gPW&#10;AAAACwEAAA8AAAAAAAAAAQAgAAAAIgAAAGRycy9kb3ducmV2LnhtbFBLAQIUABQAAAAIAIdO4kCm&#10;8XfI6QEAANIDAAAOAAAAAAAAAAEAIAAAACUBAABkcnMvZTJvRG9jLnhtbFBLBQYAAAAABgAGAFkB&#10;AACABQAAAAA=&#10;">
              <v:fill on="f" focussize="0,0"/>
              <v:stroke on="f"/>
              <v:imagedata o:title=""/>
              <o:lock v:ext="edit" aspectratio="f"/>
              <v:shadow on="t" color="#A0A0A4" offset="0pt,0pt" origin="0f,0f" matrix="65536f,0f,0f,65536f"/>
              <v:textbox inset="0mm,0mm,0mm,0m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BD"/>
    <w:rsid w:val="00003B76"/>
    <w:rsid w:val="00011B47"/>
    <w:rsid w:val="00012DF5"/>
    <w:rsid w:val="0001563D"/>
    <w:rsid w:val="00024C52"/>
    <w:rsid w:val="00037032"/>
    <w:rsid w:val="00043415"/>
    <w:rsid w:val="00045A62"/>
    <w:rsid w:val="00051D56"/>
    <w:rsid w:val="000526AB"/>
    <w:rsid w:val="00053874"/>
    <w:rsid w:val="00055B71"/>
    <w:rsid w:val="0006264B"/>
    <w:rsid w:val="000712A8"/>
    <w:rsid w:val="00072398"/>
    <w:rsid w:val="0007597D"/>
    <w:rsid w:val="000767BB"/>
    <w:rsid w:val="000819EF"/>
    <w:rsid w:val="00084F15"/>
    <w:rsid w:val="000851E8"/>
    <w:rsid w:val="0009255A"/>
    <w:rsid w:val="00092A68"/>
    <w:rsid w:val="0009467D"/>
    <w:rsid w:val="00095B6F"/>
    <w:rsid w:val="00096262"/>
    <w:rsid w:val="000A0562"/>
    <w:rsid w:val="000A10F5"/>
    <w:rsid w:val="000A17DF"/>
    <w:rsid w:val="000A1945"/>
    <w:rsid w:val="000A22E7"/>
    <w:rsid w:val="000A2F81"/>
    <w:rsid w:val="000A405F"/>
    <w:rsid w:val="000A4497"/>
    <w:rsid w:val="000A6EBC"/>
    <w:rsid w:val="000B30B3"/>
    <w:rsid w:val="000B3A8C"/>
    <w:rsid w:val="000C6143"/>
    <w:rsid w:val="000C7FA6"/>
    <w:rsid w:val="000D0DD0"/>
    <w:rsid w:val="000D42A0"/>
    <w:rsid w:val="000D62FE"/>
    <w:rsid w:val="000D7F42"/>
    <w:rsid w:val="000E3ACF"/>
    <w:rsid w:val="000F4D69"/>
    <w:rsid w:val="000F5F27"/>
    <w:rsid w:val="000F6562"/>
    <w:rsid w:val="000F691A"/>
    <w:rsid w:val="000F7979"/>
    <w:rsid w:val="0010233D"/>
    <w:rsid w:val="00106120"/>
    <w:rsid w:val="00106B74"/>
    <w:rsid w:val="0010747D"/>
    <w:rsid w:val="001078D3"/>
    <w:rsid w:val="0011154E"/>
    <w:rsid w:val="00123395"/>
    <w:rsid w:val="0012617F"/>
    <w:rsid w:val="001320A8"/>
    <w:rsid w:val="00137BEA"/>
    <w:rsid w:val="00140D97"/>
    <w:rsid w:val="00147067"/>
    <w:rsid w:val="001502E3"/>
    <w:rsid w:val="00151A6C"/>
    <w:rsid w:val="00154334"/>
    <w:rsid w:val="00154FBE"/>
    <w:rsid w:val="00156222"/>
    <w:rsid w:val="00157133"/>
    <w:rsid w:val="00163EA0"/>
    <w:rsid w:val="00170EDF"/>
    <w:rsid w:val="0017106E"/>
    <w:rsid w:val="00171A22"/>
    <w:rsid w:val="00173591"/>
    <w:rsid w:val="0017636E"/>
    <w:rsid w:val="001769C1"/>
    <w:rsid w:val="00181E71"/>
    <w:rsid w:val="001827A5"/>
    <w:rsid w:val="001847D6"/>
    <w:rsid w:val="00185616"/>
    <w:rsid w:val="0019332A"/>
    <w:rsid w:val="00194390"/>
    <w:rsid w:val="001975FE"/>
    <w:rsid w:val="001A0BBE"/>
    <w:rsid w:val="001B0358"/>
    <w:rsid w:val="001B306E"/>
    <w:rsid w:val="001B4080"/>
    <w:rsid w:val="001B67A0"/>
    <w:rsid w:val="001C25C0"/>
    <w:rsid w:val="001C590C"/>
    <w:rsid w:val="001C5A24"/>
    <w:rsid w:val="001C5BE5"/>
    <w:rsid w:val="001C5D52"/>
    <w:rsid w:val="001C7EE7"/>
    <w:rsid w:val="001D4815"/>
    <w:rsid w:val="001D5A01"/>
    <w:rsid w:val="001E14AE"/>
    <w:rsid w:val="001E1516"/>
    <w:rsid w:val="001E1CFE"/>
    <w:rsid w:val="001E3959"/>
    <w:rsid w:val="001E7EE8"/>
    <w:rsid w:val="001F4362"/>
    <w:rsid w:val="001F5985"/>
    <w:rsid w:val="001F7C13"/>
    <w:rsid w:val="00200572"/>
    <w:rsid w:val="002007C9"/>
    <w:rsid w:val="00202DDF"/>
    <w:rsid w:val="00207003"/>
    <w:rsid w:val="0021025F"/>
    <w:rsid w:val="00211154"/>
    <w:rsid w:val="00224272"/>
    <w:rsid w:val="00225D72"/>
    <w:rsid w:val="00226B29"/>
    <w:rsid w:val="00230211"/>
    <w:rsid w:val="002307A7"/>
    <w:rsid w:val="0023262A"/>
    <w:rsid w:val="0024142C"/>
    <w:rsid w:val="00243808"/>
    <w:rsid w:val="00245837"/>
    <w:rsid w:val="00251608"/>
    <w:rsid w:val="00257BC2"/>
    <w:rsid w:val="00261D8D"/>
    <w:rsid w:val="0026410B"/>
    <w:rsid w:val="0027260A"/>
    <w:rsid w:val="00273F85"/>
    <w:rsid w:val="00276465"/>
    <w:rsid w:val="002908EB"/>
    <w:rsid w:val="00292C23"/>
    <w:rsid w:val="00296920"/>
    <w:rsid w:val="002973EA"/>
    <w:rsid w:val="00297B41"/>
    <w:rsid w:val="002A2F32"/>
    <w:rsid w:val="002B1C07"/>
    <w:rsid w:val="002B56E3"/>
    <w:rsid w:val="002B5C10"/>
    <w:rsid w:val="002B7370"/>
    <w:rsid w:val="002C2EB2"/>
    <w:rsid w:val="002C3975"/>
    <w:rsid w:val="002C5100"/>
    <w:rsid w:val="002C5521"/>
    <w:rsid w:val="002D5402"/>
    <w:rsid w:val="002D59BE"/>
    <w:rsid w:val="002D7FD0"/>
    <w:rsid w:val="002E0497"/>
    <w:rsid w:val="002E0D8A"/>
    <w:rsid w:val="002E2FBB"/>
    <w:rsid w:val="002E6E0A"/>
    <w:rsid w:val="002F07C7"/>
    <w:rsid w:val="002F61B3"/>
    <w:rsid w:val="0031018B"/>
    <w:rsid w:val="003104D3"/>
    <w:rsid w:val="00310C4E"/>
    <w:rsid w:val="00316590"/>
    <w:rsid w:val="00320D1A"/>
    <w:rsid w:val="003242E7"/>
    <w:rsid w:val="0033686B"/>
    <w:rsid w:val="00336A75"/>
    <w:rsid w:val="003431D3"/>
    <w:rsid w:val="003457C0"/>
    <w:rsid w:val="00345FC0"/>
    <w:rsid w:val="00350F10"/>
    <w:rsid w:val="0035187B"/>
    <w:rsid w:val="00353C7A"/>
    <w:rsid w:val="003605D6"/>
    <w:rsid w:val="00361A93"/>
    <w:rsid w:val="0036292A"/>
    <w:rsid w:val="00364D1C"/>
    <w:rsid w:val="003732D3"/>
    <w:rsid w:val="0037479E"/>
    <w:rsid w:val="00377FEA"/>
    <w:rsid w:val="003966B6"/>
    <w:rsid w:val="00396FBB"/>
    <w:rsid w:val="003A0CF2"/>
    <w:rsid w:val="003A198F"/>
    <w:rsid w:val="003A31E1"/>
    <w:rsid w:val="003A66EF"/>
    <w:rsid w:val="003B2151"/>
    <w:rsid w:val="003B7632"/>
    <w:rsid w:val="003C5EA2"/>
    <w:rsid w:val="003E33B1"/>
    <w:rsid w:val="003E73AB"/>
    <w:rsid w:val="003E7629"/>
    <w:rsid w:val="003F087B"/>
    <w:rsid w:val="003F4B14"/>
    <w:rsid w:val="003F4CFE"/>
    <w:rsid w:val="00405435"/>
    <w:rsid w:val="0040568F"/>
    <w:rsid w:val="0040695A"/>
    <w:rsid w:val="00406A3B"/>
    <w:rsid w:val="00407A35"/>
    <w:rsid w:val="00412B8F"/>
    <w:rsid w:val="00416836"/>
    <w:rsid w:val="00423522"/>
    <w:rsid w:val="00424D50"/>
    <w:rsid w:val="00424FD9"/>
    <w:rsid w:val="00425545"/>
    <w:rsid w:val="00425A1E"/>
    <w:rsid w:val="00431DC1"/>
    <w:rsid w:val="004329FC"/>
    <w:rsid w:val="00435AB0"/>
    <w:rsid w:val="00437591"/>
    <w:rsid w:val="00442BCC"/>
    <w:rsid w:val="00447691"/>
    <w:rsid w:val="00452A69"/>
    <w:rsid w:val="00454F38"/>
    <w:rsid w:val="00456688"/>
    <w:rsid w:val="004566BF"/>
    <w:rsid w:val="00456957"/>
    <w:rsid w:val="00461DEA"/>
    <w:rsid w:val="004668C9"/>
    <w:rsid w:val="00467C51"/>
    <w:rsid w:val="00470000"/>
    <w:rsid w:val="0047408A"/>
    <w:rsid w:val="00476C5A"/>
    <w:rsid w:val="00480805"/>
    <w:rsid w:val="00484C9D"/>
    <w:rsid w:val="00485AB9"/>
    <w:rsid w:val="00491617"/>
    <w:rsid w:val="00492C55"/>
    <w:rsid w:val="00495268"/>
    <w:rsid w:val="004A1A06"/>
    <w:rsid w:val="004A33F8"/>
    <w:rsid w:val="004A36A3"/>
    <w:rsid w:val="004A4C22"/>
    <w:rsid w:val="004A60BD"/>
    <w:rsid w:val="004B07B0"/>
    <w:rsid w:val="004B2B5C"/>
    <w:rsid w:val="004B67DF"/>
    <w:rsid w:val="004C11BA"/>
    <w:rsid w:val="004C1386"/>
    <w:rsid w:val="004C57A6"/>
    <w:rsid w:val="004D053D"/>
    <w:rsid w:val="004D57DF"/>
    <w:rsid w:val="004D6080"/>
    <w:rsid w:val="004E06BA"/>
    <w:rsid w:val="004E2EFD"/>
    <w:rsid w:val="004E5147"/>
    <w:rsid w:val="004E72A9"/>
    <w:rsid w:val="004E7DFC"/>
    <w:rsid w:val="004E7FFE"/>
    <w:rsid w:val="004F07BE"/>
    <w:rsid w:val="004F38C0"/>
    <w:rsid w:val="004F5305"/>
    <w:rsid w:val="004F69F3"/>
    <w:rsid w:val="004F6C46"/>
    <w:rsid w:val="00500BFB"/>
    <w:rsid w:val="005037A1"/>
    <w:rsid w:val="00505822"/>
    <w:rsid w:val="005104B1"/>
    <w:rsid w:val="00513AA5"/>
    <w:rsid w:val="00522F23"/>
    <w:rsid w:val="005319D3"/>
    <w:rsid w:val="005378D9"/>
    <w:rsid w:val="0054386B"/>
    <w:rsid w:val="00550BFD"/>
    <w:rsid w:val="00553573"/>
    <w:rsid w:val="005615C8"/>
    <w:rsid w:val="00563208"/>
    <w:rsid w:val="005669AB"/>
    <w:rsid w:val="005719E6"/>
    <w:rsid w:val="00576880"/>
    <w:rsid w:val="00586897"/>
    <w:rsid w:val="00587261"/>
    <w:rsid w:val="00594220"/>
    <w:rsid w:val="00594A41"/>
    <w:rsid w:val="005A06A8"/>
    <w:rsid w:val="005A0BCC"/>
    <w:rsid w:val="005A0F20"/>
    <w:rsid w:val="005A3655"/>
    <w:rsid w:val="005A76E6"/>
    <w:rsid w:val="005A7A29"/>
    <w:rsid w:val="005A7E61"/>
    <w:rsid w:val="005B1D72"/>
    <w:rsid w:val="005B38BC"/>
    <w:rsid w:val="005B3FD4"/>
    <w:rsid w:val="005B5304"/>
    <w:rsid w:val="005C18F1"/>
    <w:rsid w:val="005D150C"/>
    <w:rsid w:val="005D18B6"/>
    <w:rsid w:val="005D1DEC"/>
    <w:rsid w:val="005D1E07"/>
    <w:rsid w:val="005E25AB"/>
    <w:rsid w:val="005E4AE2"/>
    <w:rsid w:val="005E4BF1"/>
    <w:rsid w:val="005E6C26"/>
    <w:rsid w:val="005F0ED5"/>
    <w:rsid w:val="005F20EA"/>
    <w:rsid w:val="005F35DD"/>
    <w:rsid w:val="005F62A0"/>
    <w:rsid w:val="005F76D4"/>
    <w:rsid w:val="005F7F4E"/>
    <w:rsid w:val="00602126"/>
    <w:rsid w:val="006033B2"/>
    <w:rsid w:val="00603BD3"/>
    <w:rsid w:val="0060789E"/>
    <w:rsid w:val="00607C88"/>
    <w:rsid w:val="0062118B"/>
    <w:rsid w:val="00622461"/>
    <w:rsid w:val="00624F56"/>
    <w:rsid w:val="006337F8"/>
    <w:rsid w:val="006352A6"/>
    <w:rsid w:val="006434A7"/>
    <w:rsid w:val="00647A9C"/>
    <w:rsid w:val="00651AE9"/>
    <w:rsid w:val="00653A11"/>
    <w:rsid w:val="00653F64"/>
    <w:rsid w:val="00656293"/>
    <w:rsid w:val="006564E9"/>
    <w:rsid w:val="006617DD"/>
    <w:rsid w:val="00667881"/>
    <w:rsid w:val="00671E95"/>
    <w:rsid w:val="006720B5"/>
    <w:rsid w:val="00673ACC"/>
    <w:rsid w:val="00674F5C"/>
    <w:rsid w:val="00684827"/>
    <w:rsid w:val="006851C5"/>
    <w:rsid w:val="00685739"/>
    <w:rsid w:val="006861EF"/>
    <w:rsid w:val="00686A1E"/>
    <w:rsid w:val="0069055D"/>
    <w:rsid w:val="00692C80"/>
    <w:rsid w:val="00693E85"/>
    <w:rsid w:val="00696838"/>
    <w:rsid w:val="00696B78"/>
    <w:rsid w:val="006A13FA"/>
    <w:rsid w:val="006B6E34"/>
    <w:rsid w:val="006D01FA"/>
    <w:rsid w:val="006D1A70"/>
    <w:rsid w:val="006D28D1"/>
    <w:rsid w:val="006D37BB"/>
    <w:rsid w:val="006D532A"/>
    <w:rsid w:val="006E1285"/>
    <w:rsid w:val="006E147F"/>
    <w:rsid w:val="006E561B"/>
    <w:rsid w:val="006E5BD2"/>
    <w:rsid w:val="006E688C"/>
    <w:rsid w:val="006F09C3"/>
    <w:rsid w:val="006F6033"/>
    <w:rsid w:val="00700C8E"/>
    <w:rsid w:val="00702051"/>
    <w:rsid w:val="007026D6"/>
    <w:rsid w:val="007035B0"/>
    <w:rsid w:val="00707486"/>
    <w:rsid w:val="0071069E"/>
    <w:rsid w:val="00720F30"/>
    <w:rsid w:val="00723C16"/>
    <w:rsid w:val="00727AD3"/>
    <w:rsid w:val="00734C44"/>
    <w:rsid w:val="0074142A"/>
    <w:rsid w:val="0074161E"/>
    <w:rsid w:val="007434EE"/>
    <w:rsid w:val="00744388"/>
    <w:rsid w:val="007540E1"/>
    <w:rsid w:val="00767042"/>
    <w:rsid w:val="00771F4C"/>
    <w:rsid w:val="00772192"/>
    <w:rsid w:val="007908BD"/>
    <w:rsid w:val="007937AE"/>
    <w:rsid w:val="007B1EF1"/>
    <w:rsid w:val="007B29D5"/>
    <w:rsid w:val="007B75FE"/>
    <w:rsid w:val="007B7BB6"/>
    <w:rsid w:val="007C0664"/>
    <w:rsid w:val="007C17F2"/>
    <w:rsid w:val="007C1A49"/>
    <w:rsid w:val="007C5804"/>
    <w:rsid w:val="007C67B5"/>
    <w:rsid w:val="007E0970"/>
    <w:rsid w:val="007E4BBC"/>
    <w:rsid w:val="007E5F97"/>
    <w:rsid w:val="007F1206"/>
    <w:rsid w:val="0080252D"/>
    <w:rsid w:val="00807024"/>
    <w:rsid w:val="00810E5C"/>
    <w:rsid w:val="008118DE"/>
    <w:rsid w:val="0081419E"/>
    <w:rsid w:val="008145DE"/>
    <w:rsid w:val="00814FB0"/>
    <w:rsid w:val="00821C4F"/>
    <w:rsid w:val="00822647"/>
    <w:rsid w:val="00822A32"/>
    <w:rsid w:val="00822D88"/>
    <w:rsid w:val="00824543"/>
    <w:rsid w:val="0082635A"/>
    <w:rsid w:val="00833A62"/>
    <w:rsid w:val="00837A3E"/>
    <w:rsid w:val="00837B5C"/>
    <w:rsid w:val="0084049C"/>
    <w:rsid w:val="0084065D"/>
    <w:rsid w:val="00841635"/>
    <w:rsid w:val="00850BC1"/>
    <w:rsid w:val="008521A3"/>
    <w:rsid w:val="008532E5"/>
    <w:rsid w:val="00857405"/>
    <w:rsid w:val="00861A73"/>
    <w:rsid w:val="00866F1E"/>
    <w:rsid w:val="008713D3"/>
    <w:rsid w:val="00871CF2"/>
    <w:rsid w:val="00877AA5"/>
    <w:rsid w:val="00885B0E"/>
    <w:rsid w:val="00887708"/>
    <w:rsid w:val="00887EC7"/>
    <w:rsid w:val="00893420"/>
    <w:rsid w:val="0089388C"/>
    <w:rsid w:val="008A09E7"/>
    <w:rsid w:val="008A31BD"/>
    <w:rsid w:val="008A350C"/>
    <w:rsid w:val="008A458E"/>
    <w:rsid w:val="008B206A"/>
    <w:rsid w:val="008B2D8E"/>
    <w:rsid w:val="008B7402"/>
    <w:rsid w:val="008B7CAF"/>
    <w:rsid w:val="008B7EBE"/>
    <w:rsid w:val="008C0F8E"/>
    <w:rsid w:val="008C10B6"/>
    <w:rsid w:val="008C15C2"/>
    <w:rsid w:val="008C1A8E"/>
    <w:rsid w:val="008C2FCD"/>
    <w:rsid w:val="008D0BDC"/>
    <w:rsid w:val="008D1C85"/>
    <w:rsid w:val="008D34B5"/>
    <w:rsid w:val="008D7441"/>
    <w:rsid w:val="008E270E"/>
    <w:rsid w:val="008E313D"/>
    <w:rsid w:val="008E4F98"/>
    <w:rsid w:val="008E68CD"/>
    <w:rsid w:val="008F3B69"/>
    <w:rsid w:val="009020F5"/>
    <w:rsid w:val="009113F8"/>
    <w:rsid w:val="00912051"/>
    <w:rsid w:val="0092186D"/>
    <w:rsid w:val="00922853"/>
    <w:rsid w:val="009240CB"/>
    <w:rsid w:val="00924A16"/>
    <w:rsid w:val="009265F3"/>
    <w:rsid w:val="00930147"/>
    <w:rsid w:val="00931451"/>
    <w:rsid w:val="00931ADE"/>
    <w:rsid w:val="00934C23"/>
    <w:rsid w:val="00936A70"/>
    <w:rsid w:val="00936C2C"/>
    <w:rsid w:val="00940778"/>
    <w:rsid w:val="009407AD"/>
    <w:rsid w:val="009561BB"/>
    <w:rsid w:val="00957D93"/>
    <w:rsid w:val="00960BAA"/>
    <w:rsid w:val="009636AD"/>
    <w:rsid w:val="00967376"/>
    <w:rsid w:val="00971546"/>
    <w:rsid w:val="00981560"/>
    <w:rsid w:val="00981587"/>
    <w:rsid w:val="00983C3A"/>
    <w:rsid w:val="009844CD"/>
    <w:rsid w:val="0098503C"/>
    <w:rsid w:val="00987087"/>
    <w:rsid w:val="009902BD"/>
    <w:rsid w:val="00991808"/>
    <w:rsid w:val="009941E6"/>
    <w:rsid w:val="009968B2"/>
    <w:rsid w:val="00996B9A"/>
    <w:rsid w:val="009A13B3"/>
    <w:rsid w:val="009B02A8"/>
    <w:rsid w:val="009B2C61"/>
    <w:rsid w:val="009B5921"/>
    <w:rsid w:val="009B5E5B"/>
    <w:rsid w:val="009B7B87"/>
    <w:rsid w:val="009D0AD7"/>
    <w:rsid w:val="009D3935"/>
    <w:rsid w:val="009E5DCC"/>
    <w:rsid w:val="009F00EE"/>
    <w:rsid w:val="009F017B"/>
    <w:rsid w:val="009F06B3"/>
    <w:rsid w:val="009F193E"/>
    <w:rsid w:val="009F40B1"/>
    <w:rsid w:val="009F43ED"/>
    <w:rsid w:val="00A01BC1"/>
    <w:rsid w:val="00A136A3"/>
    <w:rsid w:val="00A1658E"/>
    <w:rsid w:val="00A176C1"/>
    <w:rsid w:val="00A21C8F"/>
    <w:rsid w:val="00A2313A"/>
    <w:rsid w:val="00A31556"/>
    <w:rsid w:val="00A429D2"/>
    <w:rsid w:val="00A444B0"/>
    <w:rsid w:val="00A45188"/>
    <w:rsid w:val="00A45C10"/>
    <w:rsid w:val="00A54935"/>
    <w:rsid w:val="00A55A20"/>
    <w:rsid w:val="00A55F63"/>
    <w:rsid w:val="00A57692"/>
    <w:rsid w:val="00A60A9A"/>
    <w:rsid w:val="00A62100"/>
    <w:rsid w:val="00A637BB"/>
    <w:rsid w:val="00A63FC2"/>
    <w:rsid w:val="00A739BC"/>
    <w:rsid w:val="00A73F17"/>
    <w:rsid w:val="00A767B3"/>
    <w:rsid w:val="00A95211"/>
    <w:rsid w:val="00A967DE"/>
    <w:rsid w:val="00A97143"/>
    <w:rsid w:val="00A97DE9"/>
    <w:rsid w:val="00AA18F9"/>
    <w:rsid w:val="00AA31C5"/>
    <w:rsid w:val="00AA62CE"/>
    <w:rsid w:val="00AB0484"/>
    <w:rsid w:val="00AB0C00"/>
    <w:rsid w:val="00AB0DE5"/>
    <w:rsid w:val="00AB45EA"/>
    <w:rsid w:val="00AB5EF8"/>
    <w:rsid w:val="00AB7297"/>
    <w:rsid w:val="00AB7DAB"/>
    <w:rsid w:val="00AC330F"/>
    <w:rsid w:val="00AD10B8"/>
    <w:rsid w:val="00AD1391"/>
    <w:rsid w:val="00AD5250"/>
    <w:rsid w:val="00AD6B27"/>
    <w:rsid w:val="00AF402B"/>
    <w:rsid w:val="00AF5AC4"/>
    <w:rsid w:val="00B00178"/>
    <w:rsid w:val="00B01EF8"/>
    <w:rsid w:val="00B030A5"/>
    <w:rsid w:val="00B10473"/>
    <w:rsid w:val="00B15617"/>
    <w:rsid w:val="00B15ED6"/>
    <w:rsid w:val="00B16690"/>
    <w:rsid w:val="00B174E7"/>
    <w:rsid w:val="00B23880"/>
    <w:rsid w:val="00B3445D"/>
    <w:rsid w:val="00B35236"/>
    <w:rsid w:val="00B44215"/>
    <w:rsid w:val="00B44FF8"/>
    <w:rsid w:val="00B45B5E"/>
    <w:rsid w:val="00B52CBD"/>
    <w:rsid w:val="00B55060"/>
    <w:rsid w:val="00B571FC"/>
    <w:rsid w:val="00B57640"/>
    <w:rsid w:val="00B637E4"/>
    <w:rsid w:val="00B645C5"/>
    <w:rsid w:val="00B708C9"/>
    <w:rsid w:val="00B82108"/>
    <w:rsid w:val="00B82F5B"/>
    <w:rsid w:val="00B84E58"/>
    <w:rsid w:val="00BA0295"/>
    <w:rsid w:val="00BA6BD9"/>
    <w:rsid w:val="00BB5CEE"/>
    <w:rsid w:val="00BC09D4"/>
    <w:rsid w:val="00BC14C1"/>
    <w:rsid w:val="00BD13C3"/>
    <w:rsid w:val="00BD33D3"/>
    <w:rsid w:val="00BE028D"/>
    <w:rsid w:val="00BE0362"/>
    <w:rsid w:val="00BE3199"/>
    <w:rsid w:val="00BE6EC0"/>
    <w:rsid w:val="00BF48CE"/>
    <w:rsid w:val="00C0412C"/>
    <w:rsid w:val="00C12635"/>
    <w:rsid w:val="00C1343A"/>
    <w:rsid w:val="00C1399C"/>
    <w:rsid w:val="00C21114"/>
    <w:rsid w:val="00C27D3E"/>
    <w:rsid w:val="00C32374"/>
    <w:rsid w:val="00C3304D"/>
    <w:rsid w:val="00C33586"/>
    <w:rsid w:val="00C336E9"/>
    <w:rsid w:val="00C34665"/>
    <w:rsid w:val="00C41B61"/>
    <w:rsid w:val="00C44213"/>
    <w:rsid w:val="00C50885"/>
    <w:rsid w:val="00C55193"/>
    <w:rsid w:val="00C579B6"/>
    <w:rsid w:val="00C60F97"/>
    <w:rsid w:val="00C61019"/>
    <w:rsid w:val="00C6342B"/>
    <w:rsid w:val="00C66826"/>
    <w:rsid w:val="00C71D6F"/>
    <w:rsid w:val="00C7231E"/>
    <w:rsid w:val="00C8239D"/>
    <w:rsid w:val="00C85A32"/>
    <w:rsid w:val="00C90828"/>
    <w:rsid w:val="00C937F8"/>
    <w:rsid w:val="00C95C60"/>
    <w:rsid w:val="00CA286F"/>
    <w:rsid w:val="00CA5C3C"/>
    <w:rsid w:val="00CB0FD4"/>
    <w:rsid w:val="00CB1CFC"/>
    <w:rsid w:val="00CC03F2"/>
    <w:rsid w:val="00CC08D1"/>
    <w:rsid w:val="00CC5174"/>
    <w:rsid w:val="00CC61BB"/>
    <w:rsid w:val="00CD113E"/>
    <w:rsid w:val="00CD3702"/>
    <w:rsid w:val="00CD5F8D"/>
    <w:rsid w:val="00CE0489"/>
    <w:rsid w:val="00CE0566"/>
    <w:rsid w:val="00CE37A7"/>
    <w:rsid w:val="00CF2138"/>
    <w:rsid w:val="00CF4101"/>
    <w:rsid w:val="00CF6982"/>
    <w:rsid w:val="00D014F0"/>
    <w:rsid w:val="00D042E6"/>
    <w:rsid w:val="00D04879"/>
    <w:rsid w:val="00D1051D"/>
    <w:rsid w:val="00D13B3B"/>
    <w:rsid w:val="00D1495B"/>
    <w:rsid w:val="00D17222"/>
    <w:rsid w:val="00D22C61"/>
    <w:rsid w:val="00D27FD7"/>
    <w:rsid w:val="00D30FBC"/>
    <w:rsid w:val="00D35D23"/>
    <w:rsid w:val="00D40092"/>
    <w:rsid w:val="00D42F3E"/>
    <w:rsid w:val="00D46663"/>
    <w:rsid w:val="00D632B4"/>
    <w:rsid w:val="00D6411B"/>
    <w:rsid w:val="00D801E4"/>
    <w:rsid w:val="00D8467B"/>
    <w:rsid w:val="00D92294"/>
    <w:rsid w:val="00D9426D"/>
    <w:rsid w:val="00D96831"/>
    <w:rsid w:val="00D9728F"/>
    <w:rsid w:val="00DA0C6F"/>
    <w:rsid w:val="00DA5B6F"/>
    <w:rsid w:val="00DA607F"/>
    <w:rsid w:val="00DA6163"/>
    <w:rsid w:val="00DB227A"/>
    <w:rsid w:val="00DB2302"/>
    <w:rsid w:val="00DB3858"/>
    <w:rsid w:val="00DC1066"/>
    <w:rsid w:val="00DC4650"/>
    <w:rsid w:val="00DD263A"/>
    <w:rsid w:val="00DD4E2C"/>
    <w:rsid w:val="00DD7260"/>
    <w:rsid w:val="00DD79F6"/>
    <w:rsid w:val="00DE091E"/>
    <w:rsid w:val="00DF23AF"/>
    <w:rsid w:val="00DF63F4"/>
    <w:rsid w:val="00DF7DE7"/>
    <w:rsid w:val="00E02780"/>
    <w:rsid w:val="00E03EA7"/>
    <w:rsid w:val="00E0462F"/>
    <w:rsid w:val="00E05A09"/>
    <w:rsid w:val="00E13227"/>
    <w:rsid w:val="00E14579"/>
    <w:rsid w:val="00E161EF"/>
    <w:rsid w:val="00E175FE"/>
    <w:rsid w:val="00E26A4D"/>
    <w:rsid w:val="00E26F04"/>
    <w:rsid w:val="00E35332"/>
    <w:rsid w:val="00E36129"/>
    <w:rsid w:val="00E41330"/>
    <w:rsid w:val="00E41A08"/>
    <w:rsid w:val="00E43AD4"/>
    <w:rsid w:val="00E43E2F"/>
    <w:rsid w:val="00E45D74"/>
    <w:rsid w:val="00E507FD"/>
    <w:rsid w:val="00E5237E"/>
    <w:rsid w:val="00E57666"/>
    <w:rsid w:val="00E64628"/>
    <w:rsid w:val="00E66DA7"/>
    <w:rsid w:val="00E67C1B"/>
    <w:rsid w:val="00E87C88"/>
    <w:rsid w:val="00E918A1"/>
    <w:rsid w:val="00E94C26"/>
    <w:rsid w:val="00E97265"/>
    <w:rsid w:val="00E97C3C"/>
    <w:rsid w:val="00EA0D31"/>
    <w:rsid w:val="00EA1184"/>
    <w:rsid w:val="00EA5446"/>
    <w:rsid w:val="00EA6F5D"/>
    <w:rsid w:val="00EB0229"/>
    <w:rsid w:val="00EB0B4E"/>
    <w:rsid w:val="00EB5371"/>
    <w:rsid w:val="00EB5EC4"/>
    <w:rsid w:val="00EC5807"/>
    <w:rsid w:val="00ED7C17"/>
    <w:rsid w:val="00EE027F"/>
    <w:rsid w:val="00EE2514"/>
    <w:rsid w:val="00EE3C0A"/>
    <w:rsid w:val="00EE5B14"/>
    <w:rsid w:val="00EE7E77"/>
    <w:rsid w:val="00EF38E8"/>
    <w:rsid w:val="00EF50F1"/>
    <w:rsid w:val="00EF7EBF"/>
    <w:rsid w:val="00F00EEA"/>
    <w:rsid w:val="00F13293"/>
    <w:rsid w:val="00F278F8"/>
    <w:rsid w:val="00F343AA"/>
    <w:rsid w:val="00F37612"/>
    <w:rsid w:val="00F4013B"/>
    <w:rsid w:val="00F408B6"/>
    <w:rsid w:val="00F4403A"/>
    <w:rsid w:val="00F46D8E"/>
    <w:rsid w:val="00F46E89"/>
    <w:rsid w:val="00F5231F"/>
    <w:rsid w:val="00F55A18"/>
    <w:rsid w:val="00F57324"/>
    <w:rsid w:val="00F60B5D"/>
    <w:rsid w:val="00F664A5"/>
    <w:rsid w:val="00F7399F"/>
    <w:rsid w:val="00F73A92"/>
    <w:rsid w:val="00F752CF"/>
    <w:rsid w:val="00F767EB"/>
    <w:rsid w:val="00F76A8B"/>
    <w:rsid w:val="00F805D4"/>
    <w:rsid w:val="00F80652"/>
    <w:rsid w:val="00F811DF"/>
    <w:rsid w:val="00F85571"/>
    <w:rsid w:val="00F922F5"/>
    <w:rsid w:val="00F93AA9"/>
    <w:rsid w:val="00F95CB6"/>
    <w:rsid w:val="00FA2F4D"/>
    <w:rsid w:val="00FA3280"/>
    <w:rsid w:val="00FA4447"/>
    <w:rsid w:val="00FA4FD1"/>
    <w:rsid w:val="00FB1B46"/>
    <w:rsid w:val="00FB4494"/>
    <w:rsid w:val="00FC6B02"/>
    <w:rsid w:val="00FC7575"/>
    <w:rsid w:val="00FD37EA"/>
    <w:rsid w:val="00FD3F2B"/>
    <w:rsid w:val="00FD7C09"/>
    <w:rsid w:val="00FE2897"/>
    <w:rsid w:val="00FE346F"/>
    <w:rsid w:val="00FE3E27"/>
    <w:rsid w:val="00FE5E7B"/>
    <w:rsid w:val="00FE7BD1"/>
    <w:rsid w:val="00FF0E3C"/>
    <w:rsid w:val="00FF1203"/>
    <w:rsid w:val="01235CC0"/>
    <w:rsid w:val="01C748DA"/>
    <w:rsid w:val="02002577"/>
    <w:rsid w:val="02020366"/>
    <w:rsid w:val="0289499F"/>
    <w:rsid w:val="044C3498"/>
    <w:rsid w:val="044D1515"/>
    <w:rsid w:val="05F468E3"/>
    <w:rsid w:val="05FF50F0"/>
    <w:rsid w:val="06396522"/>
    <w:rsid w:val="06993DBD"/>
    <w:rsid w:val="07267EB8"/>
    <w:rsid w:val="07537F8B"/>
    <w:rsid w:val="086F2493"/>
    <w:rsid w:val="09793344"/>
    <w:rsid w:val="09BA5DF1"/>
    <w:rsid w:val="0A4E5493"/>
    <w:rsid w:val="0B063DA1"/>
    <w:rsid w:val="0C424FBC"/>
    <w:rsid w:val="0D2242C5"/>
    <w:rsid w:val="0F5853D1"/>
    <w:rsid w:val="102F455F"/>
    <w:rsid w:val="104B7207"/>
    <w:rsid w:val="13EC3A7F"/>
    <w:rsid w:val="162D6C4F"/>
    <w:rsid w:val="17501F0B"/>
    <w:rsid w:val="17771872"/>
    <w:rsid w:val="18EC13FD"/>
    <w:rsid w:val="1A621B90"/>
    <w:rsid w:val="1A902E7F"/>
    <w:rsid w:val="1BD56505"/>
    <w:rsid w:val="1C3648EC"/>
    <w:rsid w:val="1C6F3B48"/>
    <w:rsid w:val="1D294BFF"/>
    <w:rsid w:val="1D2A2723"/>
    <w:rsid w:val="1EED5CD4"/>
    <w:rsid w:val="1F804843"/>
    <w:rsid w:val="1FE10AC5"/>
    <w:rsid w:val="21095A0C"/>
    <w:rsid w:val="213E6489"/>
    <w:rsid w:val="237D6344"/>
    <w:rsid w:val="24BA7BA5"/>
    <w:rsid w:val="24E903A0"/>
    <w:rsid w:val="25C56306"/>
    <w:rsid w:val="264045A6"/>
    <w:rsid w:val="26A97DF8"/>
    <w:rsid w:val="26E35278"/>
    <w:rsid w:val="27F67418"/>
    <w:rsid w:val="2835437F"/>
    <w:rsid w:val="29230ED4"/>
    <w:rsid w:val="2B194120"/>
    <w:rsid w:val="2B403EAB"/>
    <w:rsid w:val="2DA0096A"/>
    <w:rsid w:val="2EAA6849"/>
    <w:rsid w:val="2F3B6E2A"/>
    <w:rsid w:val="330562B2"/>
    <w:rsid w:val="34EB3996"/>
    <w:rsid w:val="351A2E13"/>
    <w:rsid w:val="35E31ED1"/>
    <w:rsid w:val="366E1C83"/>
    <w:rsid w:val="37740E03"/>
    <w:rsid w:val="37A33A63"/>
    <w:rsid w:val="37CA5D6E"/>
    <w:rsid w:val="38156002"/>
    <w:rsid w:val="383371CE"/>
    <w:rsid w:val="3A805D53"/>
    <w:rsid w:val="3B4364A8"/>
    <w:rsid w:val="3C97383B"/>
    <w:rsid w:val="3F2234E3"/>
    <w:rsid w:val="442073A2"/>
    <w:rsid w:val="44344D61"/>
    <w:rsid w:val="44D36F77"/>
    <w:rsid w:val="463F2D29"/>
    <w:rsid w:val="467853A2"/>
    <w:rsid w:val="46CA2826"/>
    <w:rsid w:val="46D140D4"/>
    <w:rsid w:val="46F66861"/>
    <w:rsid w:val="4701499A"/>
    <w:rsid w:val="472357FB"/>
    <w:rsid w:val="47762779"/>
    <w:rsid w:val="497001E3"/>
    <w:rsid w:val="4ADB27C6"/>
    <w:rsid w:val="4B0412F1"/>
    <w:rsid w:val="4BBE11D6"/>
    <w:rsid w:val="4D315130"/>
    <w:rsid w:val="4D4966E6"/>
    <w:rsid w:val="51171800"/>
    <w:rsid w:val="517D37E4"/>
    <w:rsid w:val="5219787A"/>
    <w:rsid w:val="5369386C"/>
    <w:rsid w:val="53F05436"/>
    <w:rsid w:val="547F2FAF"/>
    <w:rsid w:val="54AC4C84"/>
    <w:rsid w:val="56517CE8"/>
    <w:rsid w:val="57FE7D5C"/>
    <w:rsid w:val="58021B0F"/>
    <w:rsid w:val="5A13769E"/>
    <w:rsid w:val="5A7E7FA8"/>
    <w:rsid w:val="5B251A95"/>
    <w:rsid w:val="5C992EAF"/>
    <w:rsid w:val="5D4F551B"/>
    <w:rsid w:val="5D7B0658"/>
    <w:rsid w:val="5DB16D6F"/>
    <w:rsid w:val="5EA22DFC"/>
    <w:rsid w:val="5FF978C1"/>
    <w:rsid w:val="61C5405B"/>
    <w:rsid w:val="622E67D1"/>
    <w:rsid w:val="642E1472"/>
    <w:rsid w:val="64503A6F"/>
    <w:rsid w:val="649D4E24"/>
    <w:rsid w:val="64D3552D"/>
    <w:rsid w:val="65B62F73"/>
    <w:rsid w:val="65CA79FF"/>
    <w:rsid w:val="6618623A"/>
    <w:rsid w:val="66C43252"/>
    <w:rsid w:val="67276921"/>
    <w:rsid w:val="67431387"/>
    <w:rsid w:val="680E28FF"/>
    <w:rsid w:val="68DA2FB8"/>
    <w:rsid w:val="6A43001B"/>
    <w:rsid w:val="6A635C14"/>
    <w:rsid w:val="6ADD1C0F"/>
    <w:rsid w:val="6DCA4C60"/>
    <w:rsid w:val="6F0B072C"/>
    <w:rsid w:val="71D152AC"/>
    <w:rsid w:val="71FB3C09"/>
    <w:rsid w:val="72624EE7"/>
    <w:rsid w:val="731E72AB"/>
    <w:rsid w:val="74BE4702"/>
    <w:rsid w:val="74CC5F92"/>
    <w:rsid w:val="74D515F0"/>
    <w:rsid w:val="75BC1EDC"/>
    <w:rsid w:val="76734FC6"/>
    <w:rsid w:val="76A47511"/>
    <w:rsid w:val="76CF46C0"/>
    <w:rsid w:val="78446A71"/>
    <w:rsid w:val="79AD1AD1"/>
    <w:rsid w:val="7A04701D"/>
    <w:rsid w:val="7A6E45F6"/>
    <w:rsid w:val="7D780953"/>
    <w:rsid w:val="7DFA0BBE"/>
    <w:rsid w:val="7F3D57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link w:val="10"/>
    <w:semiHidden/>
    <w:unhideWhenUsed/>
    <w:qFormat/>
    <w:uiPriority w:val="1"/>
    <w:rPr>
      <w:rFonts w:ascii="Verdana" w:hAnsi="Verdana" w:eastAsia="仿宋_GB2312"/>
      <w:color w:val="000000"/>
      <w:kern w:val="0"/>
      <w:sz w:val="24"/>
      <w:szCs w:val="20"/>
      <w:u w:color="000000"/>
      <w:lang w:eastAsia="en-US"/>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jc w:val="left"/>
    </w:pPr>
    <w:rPr>
      <w:rFonts w:eastAsia="黑体"/>
      <w:sz w:val="32"/>
    </w:rPr>
  </w:style>
  <w:style w:type="paragraph" w:styleId="3">
    <w:name w:val="Date"/>
    <w:basedOn w:val="1"/>
    <w:next w:val="1"/>
    <w:link w:val="17"/>
    <w:semiHidden/>
    <w:unhideWhenUsed/>
    <w:qFormat/>
    <w:uiPriority w:val="99"/>
    <w:pPr>
      <w:ind w:left="100" w:leftChars="2500"/>
    </w:pPr>
  </w:style>
  <w:style w:type="paragraph" w:styleId="4">
    <w:name w:val="footer"/>
    <w:basedOn w:val="1"/>
    <w:link w:val="16"/>
    <w:semiHidden/>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Char Char Char Char"/>
    <w:basedOn w:val="1"/>
    <w:link w:val="9"/>
    <w:qFormat/>
    <w:uiPriority w:val="0"/>
    <w:pPr>
      <w:widowControl/>
      <w:spacing w:after="160" w:line="240" w:lineRule="exact"/>
      <w:ind w:firstLine="419"/>
      <w:jc w:val="left"/>
      <w:textAlignment w:val="baseline"/>
    </w:pPr>
    <w:rPr>
      <w:rFonts w:ascii="Verdana" w:hAnsi="Verdana" w:eastAsia="仿宋_GB2312"/>
      <w:color w:val="000000"/>
      <w:kern w:val="0"/>
      <w:sz w:val="24"/>
      <w:szCs w:val="20"/>
      <w:u w:color="000000"/>
      <w:lang w:eastAsia="en-US"/>
    </w:rPr>
  </w:style>
  <w:style w:type="character" w:styleId="11">
    <w:name w:val="Strong"/>
    <w:basedOn w:val="9"/>
    <w:qFormat/>
    <w:uiPriority w:val="99"/>
    <w:rPr>
      <w:rFonts w:cs="Times New Roman"/>
      <w:b/>
      <w:bCs/>
    </w:rPr>
  </w:style>
  <w:style w:type="character" w:styleId="12">
    <w:name w:val="page number"/>
    <w:basedOn w:val="9"/>
    <w:qFormat/>
    <w:uiPriority w:val="0"/>
  </w:style>
  <w:style w:type="character" w:styleId="13">
    <w:name w:val="Emphasis"/>
    <w:basedOn w:val="9"/>
    <w:qFormat/>
    <w:locked/>
    <w:uiPriority w:val="20"/>
    <w:rPr>
      <w:rFonts w:cs="Times New Roman"/>
      <w:i/>
      <w:iCs/>
    </w:rPr>
  </w:style>
  <w:style w:type="character" w:styleId="14">
    <w:name w:val="Hyperlink"/>
    <w:basedOn w:val="9"/>
    <w:semiHidden/>
    <w:qFormat/>
    <w:uiPriority w:val="99"/>
    <w:rPr>
      <w:rFonts w:cs="Times New Roman"/>
      <w:color w:val="0000FF"/>
      <w:u w:val="single"/>
    </w:rPr>
  </w:style>
  <w:style w:type="character" w:customStyle="1" w:styleId="15">
    <w:name w:val="页眉 字符"/>
    <w:basedOn w:val="9"/>
    <w:link w:val="5"/>
    <w:semiHidden/>
    <w:qFormat/>
    <w:locked/>
    <w:uiPriority w:val="99"/>
    <w:rPr>
      <w:rFonts w:cs="Times New Roman"/>
      <w:sz w:val="18"/>
      <w:szCs w:val="18"/>
    </w:rPr>
  </w:style>
  <w:style w:type="character" w:customStyle="1" w:styleId="16">
    <w:name w:val="页脚 字符"/>
    <w:basedOn w:val="9"/>
    <w:link w:val="4"/>
    <w:semiHidden/>
    <w:qFormat/>
    <w:locked/>
    <w:uiPriority w:val="99"/>
    <w:rPr>
      <w:rFonts w:cs="Times New Roman"/>
      <w:sz w:val="18"/>
      <w:szCs w:val="18"/>
    </w:rPr>
  </w:style>
  <w:style w:type="character" w:customStyle="1" w:styleId="17">
    <w:name w:val="日期 字符"/>
    <w:basedOn w:val="9"/>
    <w:link w:val="3"/>
    <w:semiHidden/>
    <w:qFormat/>
    <w:uiPriority w:val="99"/>
    <w:rPr>
      <w:kern w:val="2"/>
      <w:sz w:val="21"/>
      <w:szCs w:val="22"/>
    </w:rPr>
  </w:style>
  <w:style w:type="paragraph" w:customStyle="1" w:styleId="1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9">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Words>
  <Characters>7</Characters>
  <Lines>1</Lines>
  <Paragraphs>1</Paragraphs>
  <TotalTime>62</TotalTime>
  <ScaleCrop>false</ScaleCrop>
  <LinksUpToDate>false</LinksUpToDate>
  <CharactersWithSpaces>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2019-10-15T07:08:00Z</dcterms:created>
  <dc:creator>王仁博</dc:creator>
  <cp:lastModifiedBy>瓯海编办-朱龙</cp:lastModifiedBy>
  <cp:lastPrinted>2020-11-19T04:35:00Z</cp:lastPrinted>
  <dcterms:modified xsi:type="dcterms:W3CDTF">2020-11-26T07:32:41Z</dcterms:modified>
  <dc:title>关于市委第一巡察组巡察反馈意见的整改方 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